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TW</w:t>
      </w:r>
      <w:r>
        <w:rPr>
          <w:rFonts w:ascii="Calibri" w:hAnsi="Calibri"/>
          <w:b/>
          <w:color w:val="1A2010"/>
          <w:sz w:val="40"/>
        </w:rPr>
        <w:t xml:space="preserve">  Tradeweb Markets Inc.</w:t>
      </w:r>
    </w:p>
    <w:p>
      <w:pPr>
        <w:spacing w:after="120"/>
      </w:pPr>
      <w:r>
        <w:rPr>
          <w:rFonts w:ascii="Calibri" w:hAnsi="Calibri"/>
          <w:b/>
          <w:color w:val="6E8450"/>
          <w:sz w:val="18"/>
        </w:rPr>
        <w:t>GROWTH SLEEVE · 2026-04-26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Tradeweb Markets builds and operates electronic marketplaces for rates, credit, equities, and money markets globally. The platform serves institutional, wholesale, retail, and corporate clients including asset managers, hedge funds, insurance companies, central banks, and dealers. Founded in 1996 and majority-owned by LSEG/Refinitiv, Tradeweb facilitates over $1 trillion in average daily trading volume.</w:t>
      </w:r>
    </w:p>
    <w:p>
      <w:r>
        <w:rPr>
          <w:rFonts w:ascii="Calibri" w:hAnsi="Calibri"/>
          <w:b/>
          <w:color w:val="6E8450"/>
          <w:sz w:val="18"/>
        </w:rPr>
        <w:t>1,569 Employees · https://www.tradeweb.com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Tradeweb has consistently expanded its electronic trading capabilities, growing revenue at an 18.1% CAGR over five years from $1.19B (2022) to $2.05B (2025), with international revenue growing 41% and emerging market swaps up 40%+ [1]. The company has successfully extended from its rates core into credit, equities, and money markets. AI Deployment (1/2): Tradeweb appointed Sherry Marcus (ex-AWS, led Amazon Bedrock) as Head of AI in May 2025, and has deployed AI-Price, SNAP+ analytics, and generative AI for liquidity discovery — specific products shipping to clients but full revenue impact not yet quantified [2]. Market Share (2/2): Tradeweb is a category leader in electronic fixed-income trading, operating one of the largest multi-dealer platforms globally with record trading volumes in Q1 2026 [1]. Pipeline (1/2): 'Electronic trading 2.0' strategy with AI and DLT integration, custom IRS trades via AI tools, and continued APAC/EM expansion provide visible growth vectors but without specific revenue targets [2]. R&amp;D Intensity (0/1): Technology spending is significant for a financial services firm but specific R&amp;D-to-revenue ratios are not disclosed at levels above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Tradeweb's mission centers on 'building connections across the global financial ecosystem' through electronic trading innovation. Clear and specific to their business but not aspirational beyond improving market efficiency — it describes what they do rather than a vision of a better future. Community Impact (1/2): Tradeweb published its third annual Corporate Sustainability Report, became an official Climate Bonds Initiative partner, and supports ESG-related securities trading on its platform [3]. Employee Retention (1/2): Glassdoor rating of 3.9/5 with 282 reviews reflects adequate but not exceptional employee sentiment; positive mentions of culture and work-life balance are tempered by concerns about technical debt and a perception the company was better run in the past [2]. Insider Buying (2/2): CEO Billy Hult and leadership have significant equity exposure, and the company's consistent dividend growth (from $0.08/quarter in 2022 to $0.14/quarter in 2026) demonstrates capital allocation discipline aligned with long-term value creation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Tradeweb's financial profile is excellent for a capital-light marketplace business. Revenue grew 18.9% YoY to $2.05B with a five-year CAGR of ~20%, demonstrating sustained high growth [1]. Gross margins of 93.7% and operating margins of 42.4% reflect the scalability of electronic trading platforms [4]. Profit margin of 39.6% and net income of $813M (up 62% YoY) demonstrate accelerating profitability [4]. D/E is minimal at 2.1% with $1.9B cash against $147M debt, creating a fortress balance sheet [4]. ROE of 13.6% is slightly below the 15% target but improving rapidly with earnings growth of 128.8% YoY. Forward P/E of 24.8x and PEG of 2.73 reflect premium valuation for a high-growth financial infrastructure company. Liquidity floor easily cleared: 1.5M avg vol x $113.29 = $170.5M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Tradeweb has played a long game since its 1996 founding, patiently building electronic trading infrastructure over nearly three decades as fixed-income markets slowly transitioned from voice to electronic execution. The company's willingness to invest in AI and international expansion before these initiatives are fully profitable reflects infinite-game thinking, though recent Glassdoor feedback suggests some cultural erosion under growth pressure.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Tradeweb's purpose — democratizing access to fixed-income markets through electronic trading — has been validated by nearly 30 years of consistent execution and expansion [1]. The company has steadily built the infrastructure that makes global bond markets more transparent and efficient. While not as transformative as a tech moonshot, this is a genuine and enduring cause that has survived multiple market crises, including 2008 and COVID.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3.9/5 suggests adequate organizational trust, with employees citing good culture and work-life balance [2]. However, concerns about technical debt, engineering support, and a perception that the company was better run in the past indicate that rapid growth is straining organizational cohesion. The transition from Lee Olesky to Billy Hult as CEO in 2023 was planned and orderly, suggesting institutional stability.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Tradeweb operates in a competitive ecosystem with Bloomberg, MarketAxess, and ICE, and the company's expansion into new asset classes and geographies suggests it uses competitive pressure to broaden capabilities rather than simply defending territory [1]. Management commentary references market evolution and client needs rather than competitor destruction.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Tradeweb has incrementally expanded from US rates into credit, equities, and money markets, and from institutional to wholesale and retail segments [1]. The company's push into EM swaps (up 40%+), APAC markets, and AI-powered trading tools represents meaningful evolution. However, the core business model — electronic marketplace operator — has remained fundamentally unchanged since founding. This is disciplined extension, not transformative reinvention.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Tradeweb's appointment of a dedicated Head of AI from Amazon Bedrock and investment in next-generation trading capabilities demonstrate forward-thinking leadership [2]. The company has consistently invested in market infrastructure ahead of client demand, particularly in electronic credit trading where adoption lagged rates by years. However, there are no dramatic examples of sacrificing near-term earnings for long-term capability.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Tradeweb Markets is the premier electronic fixed-income trading platform with a compelling growth trajectory — revenue grew 18.9% YoY to $2.05B in 2025 with net income surging 62% to $813M, driven by record trading volumes and international expansion [1]. The capital-light marketplace model generates 93.7% gross margins and 42.4% operating margins with minimal debt (D/E 2.1%) and $1.9B in cash [4]. Five-year revenue CAGR of ~20% and continued expansion into credit, equities, EM swaps (40%+ growth), and APAC markets provide multiple growth vectors. The proactive AI strategy — including a dedicated Head of AI hired from AWS and AI-powered trading tools already shipping to clients — positions Tradeweb to leverage technology as an enabler rather than face it as a disruptor [2]. At 24.8x forward P/E, the stock trades at a premium but one supported by consistent 20%+ top-line growth and expanding margins.</w:t>
      </w:r>
    </w:p>
    <w:p>
      <w:pPr>
        <w:spacing w:after="120"/>
      </w:pPr>
      <w:r>
        <w:rPr>
          <w:rFonts w:ascii="Calibri" w:hAnsi="Calibri"/>
          <w:b w:val="0"/>
          <w:color w:val="3A4A28"/>
          <w:sz w:val="20"/>
        </w:rPr>
        <w:t>The bear case focuses on valuation, competitive intensity, and parent company dynamics. At 30x trailing P/E and 24.8x forward P/E with a PEG of 2.73, Tradeweb is priced for perfection — any deceleration in volume growth or market share gains could trigger multiple compression [4]. LSEG/Refinitiv's majority ownership creates governance concentration risk and potential conflicts of interest. Bloomberg's dominant terminal ecosystem, MarketAxess's credit trading leadership, and ICE's data and analytics capabilities create meaningful competitive pressure across all asset classes. ROE of 13.6% is below the 15% threshold, reflecting the company's asset-light but capital-intensive technology investment cycle. Revenue concentration in interest-rate products means that a sustained low-volatility environment could significantly reduce trading volumes and revenue growth [1]. The Glassdoor criticism about accumulated technical debt and slow product development suggests the technology platform may need significant investment to maintain competitive position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Q1 2026 trading volumes and continued revenue growth above 20% YoY, demonstrating the secular shift from voice to electronic trading in fixed income [1]</w:t>
      </w:r>
    </w:p>
    <w:p>
      <w:pPr>
        <w:spacing w:before="40" w:after="40"/>
        <w:ind w:left="283"/>
      </w:pPr>
      <w:r>
        <w:rPr>
          <w:rFonts w:ascii="Calibri" w:hAnsi="Calibri"/>
          <w:b/>
          <w:color w:val="4A6B25"/>
          <w:sz w:val="20"/>
        </w:rPr>
        <w:t xml:space="preserve">2. </w:t>
      </w:r>
      <w:r>
        <w:rPr>
          <w:rFonts w:ascii="Calibri" w:hAnsi="Calibri"/>
          <w:b w:val="0"/>
          <w:color w:val="3A4A28"/>
          <w:sz w:val="20"/>
        </w:rPr>
        <w:t>AI-powered product monetization through AI-Price, generative AI liquidity discovery, and custom IRS tools driving incremental revenue per client [2]</w:t>
      </w:r>
    </w:p>
    <w:p>
      <w:pPr>
        <w:spacing w:before="40" w:after="40"/>
        <w:ind w:left="283"/>
      </w:pPr>
      <w:r>
        <w:rPr>
          <w:rFonts w:ascii="Calibri" w:hAnsi="Calibri"/>
          <w:b/>
          <w:color w:val="4A6B25"/>
          <w:sz w:val="20"/>
        </w:rPr>
        <w:t xml:space="preserve">3. </w:t>
      </w:r>
      <w:r>
        <w:rPr>
          <w:rFonts w:ascii="Calibri" w:hAnsi="Calibri"/>
          <w:b w:val="0"/>
          <w:color w:val="3A4A28"/>
          <w:sz w:val="20"/>
        </w:rPr>
        <w:t>International and EM expansion — 41% international revenue growth and 40%+ EM swaps growth creating new high-growth revenue streams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risk — PEG of 2.73 and 30x trailing P/E leave no margin for error if volume growth decelerates or market conditions shift to low volatility [4]</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Bloomberg, MarketAxess, and ICE across credit, rates, and data analytics could erode market share gains [1]</w:t>
      </w:r>
    </w:p>
    <w:p>
      <w:pPr>
        <w:spacing w:before="40" w:after="40"/>
        <w:ind w:left="283"/>
      </w:pPr>
      <w:r>
        <w:rPr>
          <w:rFonts w:ascii="Calibri" w:hAnsi="Calibri"/>
          <w:b/>
          <w:color w:val="4A6B25"/>
          <w:sz w:val="20"/>
        </w:rPr>
        <w:t xml:space="preserve">3. </w:t>
      </w:r>
      <w:r>
        <w:rPr>
          <w:rFonts w:ascii="Calibri" w:hAnsi="Calibri"/>
          <w:b w:val="0"/>
          <w:color w:val="3A4A28"/>
          <w:sz w:val="20"/>
        </w:rPr>
        <w:t>LSEG/Refinitiv majority ownership creates governance concentration and potential strategic conflicts as the parent manages its own marketplace ambitions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Tradeweb's electronic marketplace business benefits from deep regulatory moats, network effects, and switching costs that make it structurally resistant to AI disruption [1]. The fixed-income trading ecosystem requires established dealer relationships, regulatory compliance infrastructure, and multi-decade client trust that AI cannot replicate from scratch. However, AI-native trading platforms could eventually compete at the margin, and AI-driven analytics tools from competitors could reduce Tradeweb's information advantage. The company's proactive AI strategy (appointing a Head of AI from AWS, deploying AI-Price and generative AI tools) positions it to be an AI adopter rather than an AI victim [2]. AI Opportunity (1/1): Tradeweb is actively shipping AI-powered products including AI-Price for pre-trade analytics, generative AI for liquidity discovery, and AI-supported custom IRS trades, generating incremental revenue from existing clients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Tradeweb Markets Q4 and Full Year 2025 Financial Results — $2.05B revenue, $813M net income, record trading volumes, February 2026</w:t>
      </w:r>
    </w:p>
    <w:p>
      <w:pPr>
        <w:spacing w:before="20" w:after="20"/>
        <w:ind w:left="170"/>
      </w:pPr>
      <w:r>
        <w:rPr>
          <w:rFonts w:ascii="Calibri" w:hAnsi="Calibri"/>
          <w:b/>
          <w:color w:val="4A6B25"/>
          <w:sz w:val="15"/>
        </w:rPr>
        <w:t xml:space="preserve">2. </w:t>
      </w:r>
      <w:r>
        <w:rPr>
          <w:rFonts w:ascii="Calibri" w:hAnsi="Calibri"/>
          <w:b w:val="0"/>
          <w:color w:val="3A4A28"/>
          <w:sz w:val="17"/>
        </w:rPr>
        <w:t>Tradeweb Markets AI Strategy — Sherry Marcus appointment as Head of AI, AI-Price, generative AI tools, Glassdoor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Tradeweb Corporate Sustainability Report — ESG initiatives, Climate Bonds Initiative partnership,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TW (Tradeweb Markets),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