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TXNM</w:t>
      </w:r>
      <w:r>
        <w:rPr>
          <w:rFonts w:ascii="Calibri" w:hAnsi="Calibri"/>
          <w:b/>
          <w:color w:val="1A2010"/>
          <w:sz w:val="40"/>
        </w:rPr>
        <w:t xml:space="preserve">  TXNM Energy,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2026-05-02 · Inspire: 50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Regulated Electric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TXNM Energy, Inc. is a regulated electric utility holding company serving approximately 800,000 homes and businesses through its subsidiaries PNM (New Mexico) and TNMP (Texas). The company is transitioning toward 100% carbon-free electricity generation by 2040.</w:t>
      </w:r>
    </w:p>
    <w:p>
      <w:r>
        <w:rPr>
          <w:rFonts w:ascii="Calibri" w:hAnsi="Calibri"/>
          <w:b/>
          <w:color w:val="6E8450"/>
          <w:sz w:val="18"/>
        </w:rPr>
        <w:t>https://www.txnmenergy.com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TXNM is deploying generative AI and machine learning for grid integrity and operational efficiency, transitioning IT from a support function to a strategic driver [1]. The $10.2B capital investment plan for 2026-2030 includes significant grid modernization and renewable energy buildout [2]. However, as a regulated utility, innovation is incremental rather than breakthrough — the company's competitive moat is regulatory, not technological. 31% emissions reduction since 2005 shows steady clean energy transition progress.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Don Tarry brings 28+ years of utility experience and internal continuity, having risen through multiple executive roles since joining in 1996 [3]. The company emphasizes continuous learning, mentorship programs, and celebrates employee achievements [4]. The 2040 carbon-free target provides mission alignment, but the pending Blackstone acquisition creates existential uncertainty about whether the current culture and leadership will survive the take-private transaction.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Q1 2026 revenue grew 5% YoY to $505M with operating income of $77M, demonstrating regulated utility stability [2]. However, net earnings fell to $3.7M as interest expense ($68.6M) and investment losses ($8.9M) surged. Forward P/E of 18.2 is reasonable for a utility, and the rate base is projected to grow from $7.6B (2026) to $13.6B (2030). Debt-to-equity of 166% is elevated but typical for capital-intensive regulated utilities. The stock trades near the $61.25 Blackstone acquisition price, capping upside.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TXNM has demonstrated long-term thinking through its 2040 carbon-free commitment and massive capital investment plans, but the pending Blackstone acquisition at $61.25/share effectively ends the company's independent infinite game. If the deal closes, Blackstone's private equity model prioritizes returns over long-term stakeholder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2040 carbon-free electricity target exceeds federal requirements and New Mexico's 2045 mandate, demonstrating genuine environmental commitment beyond compliance [5]. Serving 800,000 homes with reliable, affordable, clean electricity is a meaningful societal purpose. The company's 'Do the Right Thing' ethics code adopted in 1994 shows long-standing values integration.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TXNM emphasizes mentorship programs, continuous learning, and celebrates employee achievements, with IT transformation led by diverse leadership [4]. CEO Tarry's 28-year tenure creates institutional stability. However, the Blackstone acquisition creates workforce uncertainty — senators have raised concerns about impacts on utility workers, and private equity ownership typically brings cost-cutting pressure 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regulated monopoly utility, TXNM faces limited direct competition — its 'rival' is the regulatory process and clean energy transition timelines. The company competes indirectly for capital against other utilities, and its BBB credit rating from S&amp;P reflects adequate but not exceptional financial positioning relative to peers [7].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agreement to be acquired by Blackstone for $61.25/share demonstrates board willingness to explore strategic alternatives when the public market undervalued the company's rate base growth trajectory [6]. The $10.2B capital plan shows flexibility in directing investment toward renewable energy and grid modernization. However, going private limits future strategic optionality.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Setting a 2040 carbon-free target five years ahead of state mandates shows environmental leadership among regulated utilities [5]. The decision to accept the Blackstone acquisition suggests pragmatism over long-term independence. The company has navigated coal plant closures and rate cases effectively, demonstrating steady regulatory courage if not transformative vision.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TXNM Energy is effectively an acquisition arbitrage play trading at $59.20 versus the $61.25 Blackstone take-private offer, representing 3.5% upside if the deal closes. The underlying business demonstrates solid regulated utility fundamentals with 5% revenue growth, a $10.2B capital investment plan supporting rate base growth to $13.6B by 2030, and AI-driven electricity demand tailwinds in Texas and New Mexico.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Key risk is deal closure — senators Warren, Sanders, and Blumenthal have raised affordability and leverage concerns about Blackstone's utility acquisitions, and regulatory approvals in New Mexico are pending [6]. If the deal breaks, TXNM would likely trade lower given the 40x trailing P/E, though the clean energy transition and data center demand thesis provide downside support. The dividend sleeve assignment reflects the utility's income characteristics, though yield is modest at approximately 2.5%.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Blackstone acquisition closure at $61.25/share providing 3.5% spread capture plus interim dividends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data center electricity demand growth in Texas service territory supporting accelerated rate base expansion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Mexico regulatory approval of renewable energy investments driving rate base toward $13.6B by 2030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Blackstone deal faces political opposition from senators citing affordability concerns and private equity leverage tactics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Q1 2026 net earnings fell to $3.7M as interest expense and investment losses surged, signaling balance sheet strain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If acquisition fails, stock likely falls from current $59.20 given 40x trailing P/E without takeout premium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significant demand catalyst for electric utilities — data center buildout for AI workloads is driving unprecedented electricity demand growth in TXNM's Texas and New Mexico service territories. The company is actively deploying AI/ML for grid management, predictive maintenance, and operational optimization [4]. Regulated utility business model cannot be disrupted by AI; rather, AI infrastructure requires more electricity, directly benefiting TXNM's rate base growth. The $10.2B CapEx plan through 2030 positions the company to capture AI-driven load growth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TXNM Energy Q1 2026 Quarterly Report (10-Q),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TXNM Energy First Quarter 2026 Results Press Release,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TXNM Energy Leadership Page — CEO Don Tarry biography,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Hispanic Executive — 'Sheila Mendez Harnesses IT Transformation at TXNM Energy',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TXNM Energy ESG Commitment — Environment Page,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PEStakeholder.org — 'Blackstone plans to acquire multi-utility TXNM, raising concerns about energy affordability',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S&amp;P Global Ratings — TXNM Energy Inc. 'BBB' Rating Affirmed,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