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TXRH</w:t>
      </w:r>
      <w:r>
        <w:rPr>
          <w:rFonts w:ascii="Calibri" w:hAnsi="Calibri"/>
          <w:b/>
          <w:color w:val="1A2010"/>
          <w:sz w:val="40"/>
        </w:rPr>
        <w:t xml:space="preserve">  Texas Roadhouse, Inc.</w:t>
      </w:r>
    </w:p>
    <w:p>
      <w:pPr>
        <w:spacing w:after="120"/>
      </w:pPr>
      <w:r>
        <w:rPr>
          <w:rFonts w:ascii="Calibri" w:hAnsi="Calibri"/>
          <w:b/>
          <w:color w:val="6E8450"/>
          <w:sz w:val="18"/>
        </w:rPr>
        <w:t>GROWTH SLEEVE · 2026-05-06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Texas Roadhouse, Inc. operates casual dining restaurants in the United States and internationally through three segments: Texas Roadhouse, Bubba's 33, and Jaggers. The company's restaurants offer hand-cut steaks, ribs, seafood, chicken, and made-from-scratch sides, with approximately 750 locations across all brands.</w:t>
      </w:r>
    </w:p>
    <w:p>
      <w:r>
        <w:rPr>
          <w:rFonts w:ascii="Calibri" w:hAnsi="Calibri"/>
          <w:b/>
          <w:color w:val="6E8450"/>
          <w:sz w:val="18"/>
        </w:rPr>
        <w:t>101,000 Employees · https://www.texasroadhouse.com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Texas Roadhouse's innovation is primarily operational rather than technological — the 'Roadie First' digital ordering system and digital kitchen conversions represent meaningful efficiency improvements but not industry-leading disruption [3]. The company plans to open 35 new restaurants in 2026 (20 Texas Roadhouse, 10 Bubba's 33, 5 Jaggers), demonstrating disciplined concept expansion, but the core hand-cut steak casual dining model has changed little since founding [1]. R&amp;D intensity is minimal as a restaurant operator, though the multi-brand strategy shows incremental product development capability.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Texas Roadhouse's legendary people-first culture, established by late founder Kent Taylor and maintained by CEO Jerry Morgan, is the company's defining competitive advantage. Employees describe the culture as 'absolutely amazing' with leadership that 'listens and takes into consideration all of your ideas,' and the company's operator-empowerment model gives managing partners genuine ownership stakes in their restaurants [4]. The 101,000 employees reflect strong retention in an industry plagued by turnover, and the company's structured team development programs and mentoring initiatives reinforce a genuine commitment to workforce development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ROE of 29.0% significantly exceeds the 15% target, and debt-to-equity of 65.9% is below the 70% threshold, reflecting conservative financial management [2]. Full-year 2025 revenue grew 9.4% to $5.878B with continued positive comparable restaurant sales, though profit margins at 6.9% are thin by cross-industry standards but typical for full-service restaurants [1][2]. Forward P/E of 20.7x is near the target threshold, and PEG of 1.98 reflects reasonable growth-adjusted valuation, though 7% commodity inflation guidance for 2026 pressures near-term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Texas Roadhouse exemplifies trusting teams through its operator-empowerment model where managing partners share in restaurant profits, creating genuine alignment between frontline leadership and company success. The company's existential flexibility is modest — expanding through Bubba's 33 and Jaggers concepts shows willingness to evolve, but the core model remains largely unchanged since 1993.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Founded on Kent Taylor's vision of 'legendary food, legendary service,' Texas Roadhouse has a cause that transcends quarterly earnings — providing affordable hand-cut steaks in an energetic atmosphere while treating employees as family. The mission has authentic emotional resonance, evidenced by the managing partner profit-sharing model, but stops short of a transformative societal purpose.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Texas Roadhouse's managing partner model is among the strongest trust-building structures in the restaurant industry — partners invest $25,000 for a stake in their restaurant's profits, creating genuine ownership mentality. Employee reviews consistently praise the collaborative culture, and the company's 101,000 employees reflect exceptional retention for casual dining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Texas Roadhouse openly acknowledges competition from Darden (LongHorn Steakhouse), Outback Steakhouse, and fast-casual concepts, using these rivals to refine its value proposition around hand-cut quality at accessible prices. The company's consistent comp sales growth suggests it learns from competitive dynamics rather than dismissing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Bubba's 33 sports bar and Jaggers fast-casual concepts demonstrate willingness to experiment beyond the core Texas Roadhouse brand, with 35 planned openings in 2026 including 15 non-core-brand locations [1]. However, the company's fundamental model — casual dining steakhouse — has remained essentially unchanged for 30+ years, suggesting limited transformational ambition.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Jerry Morgan has maintained Kent Taylor's people-first philosophy following Taylor's 2021 passing, showing courage in preserving culture over short-term optimization. However, leadership has not made bold strategic bets that meaningfully depart from the established playbook, and the 2026 commodity inflation headwind (7% guidance) is being absorbed rather than proactively hedged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Texas Roadhouse is a best-in-class casual dining operator with a differentiated people-first culture, strong unit economics, and disciplined multi-brand expansion. Full-year 2025 revenue grew 9.4% to $5.878B driven by continued positive comp sales and store week growth, while the managing partner model creates structural competitive advantages in employee retention and guest satisfaction [1][2]. The planned 35 new restaurant openings in 2026 across three concepts and positive comp sales guidance suggest the growth runway remains substantial, supported by a fortress balance sheet with only 65.9% debt-to-equity [1][2].</w:t>
      </w:r>
    </w:p>
    <w:p>
      <w:pPr>
        <w:spacing w:after="120"/>
      </w:pPr>
      <w:r>
        <w:rPr>
          <w:rFonts w:ascii="Calibri" w:hAnsi="Calibri"/>
          <w:b w:val="0"/>
          <w:color w:val="3A4A28"/>
          <w:sz w:val="20"/>
        </w:rPr>
        <w:t>The bear case centers on margin compression from 7% commodity inflation and 3-4% labor cost increases in 2026, which contributed to a 26.9% Q4 2025 earnings decline and 5.7% full-year EPS contraction despite revenue growth [1]. Profit margins at 6.9% are inherently thin for full-service dining, leaving minimal buffer against input cost spikes. The company's Growth sleeve valuation at 20.7x forward earnings assumes continued comp sales momentum, which could falter if consumer discretionary spending weakens in a potential recessionary environment. The Bubba's 33 and Jaggers concepts remain unproven at scale and could dilute management focus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35 planned new restaurant openings in 2026 (20 Texas Roadhouse, 10 Bubba's 33, 5 Jaggers) driving 5-6% store week growth [1]</w:t>
      </w:r>
    </w:p>
    <w:p>
      <w:pPr>
        <w:spacing w:before="40" w:after="40"/>
        <w:ind w:left="283"/>
      </w:pPr>
      <w:r>
        <w:rPr>
          <w:rFonts w:ascii="Calibri" w:hAnsi="Calibri"/>
          <w:b/>
          <w:color w:val="4A6B25"/>
          <w:sz w:val="20"/>
        </w:rPr>
        <w:t xml:space="preserve">2. </w:t>
      </w:r>
      <w:r>
        <w:rPr>
          <w:rFonts w:ascii="Calibri" w:hAnsi="Calibri"/>
          <w:b w:val="0"/>
          <w:color w:val="3A4A28"/>
          <w:sz w:val="20"/>
        </w:rPr>
        <w:t>Digital kitchen conversions and Roadie First platform improving labor efficiency and throughput to offset commodity inflation [3]</w:t>
      </w:r>
    </w:p>
    <w:p>
      <w:pPr>
        <w:spacing w:before="40" w:after="40"/>
        <w:ind w:left="283"/>
      </w:pPr>
      <w:r>
        <w:rPr>
          <w:rFonts w:ascii="Calibri" w:hAnsi="Calibri"/>
          <w:b/>
          <w:color w:val="4A6B25"/>
          <w:sz w:val="20"/>
        </w:rPr>
        <w:t xml:space="preserve">3. </w:t>
      </w:r>
      <w:r>
        <w:rPr>
          <w:rFonts w:ascii="Calibri" w:hAnsi="Calibri"/>
          <w:b w:val="0"/>
          <w:color w:val="3A4A28"/>
          <w:sz w:val="20"/>
        </w:rPr>
        <w:t>Continued positive comparable restaurant sales growth expanding the industry-leading unit economic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7% commodity inflation and 3-4% wage inflation in 2026 compressing already-thin 6.9% profit margins [1]</w:t>
      </w:r>
    </w:p>
    <w:p>
      <w:pPr>
        <w:spacing w:before="40" w:after="40"/>
        <w:ind w:left="283"/>
      </w:pPr>
      <w:r>
        <w:rPr>
          <w:rFonts w:ascii="Calibri" w:hAnsi="Calibri"/>
          <w:b/>
          <w:color w:val="4A6B25"/>
          <w:sz w:val="20"/>
        </w:rPr>
        <w:t xml:space="preserve">2. </w:t>
      </w:r>
      <w:r>
        <w:rPr>
          <w:rFonts w:ascii="Calibri" w:hAnsi="Calibri"/>
          <w:b w:val="0"/>
          <w:color w:val="3A4A28"/>
          <w:sz w:val="20"/>
        </w:rPr>
        <w:t>Consumer discretionary spending vulnerability if economic conditions weaken, given the company's casual dining positioning</w:t>
      </w:r>
    </w:p>
    <w:p>
      <w:pPr>
        <w:spacing w:before="40" w:after="40"/>
        <w:ind w:left="283"/>
      </w:pPr>
      <w:r>
        <w:rPr>
          <w:rFonts w:ascii="Calibri" w:hAnsi="Calibri"/>
          <w:b/>
          <w:color w:val="4A6B25"/>
          <w:sz w:val="20"/>
        </w:rPr>
        <w:t xml:space="preserve">3. </w:t>
      </w:r>
      <w:r>
        <w:rPr>
          <w:rFonts w:ascii="Calibri" w:hAnsi="Calibri"/>
          <w:b w:val="0"/>
          <w:color w:val="3A4A28"/>
          <w:sz w:val="20"/>
        </w:rPr>
        <w:t>Multi-brand execution risk as Bubba's 33 and Jaggers scale beyond proven Texas Roadhouse core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poses minimal disruption risk to Texas Roadhouse's experience-driven casual dining model — the hand-cut steaks, scratch-made sides, and energetic atmosphere cannot be replicated by technology [3]. The company is selectively deploying operational technology through digital kitchen conversions and the Roadie First ordering platform to improve throughput and labor scheduling efficiency [3]. However, AI-driven food delivery platforms and virtual kitchen concepts represent modest competitive threats by shifting consumer habits, and the company has limited ability to leverage AI for revenue generation beyond back-of-house optimization. AI Opportunity tiebreaker: 0/1 — AI is neither a significant threat nor a meaningful growth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Texas Roadhouse Q4 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TXRH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McMillanDoolittle — 'Texas Roadhouse: Winning at Retail in 2026' and company technology initiatives</w:t>
      </w:r>
    </w:p>
    <w:p>
      <w:pPr>
        <w:spacing w:before="20" w:after="20"/>
        <w:ind w:left="170"/>
      </w:pPr>
      <w:r>
        <w:rPr>
          <w:rFonts w:ascii="Calibri" w:hAnsi="Calibri"/>
          <w:b/>
          <w:color w:val="4A6B25"/>
          <w:sz w:val="15"/>
        </w:rPr>
        <w:t xml:space="preserve">4. </w:t>
      </w:r>
      <w:r>
        <w:rPr>
          <w:rFonts w:ascii="Calibri" w:hAnsi="Calibri"/>
          <w:b w:val="0"/>
          <w:color w:val="3A4A28"/>
          <w:sz w:val="17"/>
        </w:rPr>
        <w:t>Glassdoor and Comparably — Texas Roadhouse employee reviews and culture ratings,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Fox Business — Texas Roadhouse DEI civil rights complaint and ESG disclosure,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