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UAA</w:t>
      </w:r>
      <w:r>
        <w:rPr>
          <w:rFonts w:ascii="Calibri" w:hAnsi="Calibri"/>
          <w:b/>
          <w:color w:val="1A2010"/>
          <w:sz w:val="40"/>
        </w:rPr>
        <w:t xml:space="preserve">  Under Armour, Inc.</w:t>
      </w:r>
    </w:p>
    <w:p>
      <w:pPr>
        <w:spacing w:after="120"/>
      </w:pPr>
      <w:r>
        <w:rPr>
          <w:rFonts w:ascii="Calibri" w:hAnsi="Calibri"/>
          <w:b/>
          <w:color w:val="6E8450"/>
          <w:sz w:val="18"/>
        </w:rPr>
        <w:t>GROWTH SLEEVE · 2026-03-24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 Footwear &amp; Accessories · NYSE · United States</w:t>
      </w:r>
    </w:p>
    <w:p>
      <w:pPr>
        <w:spacing w:after="80"/>
      </w:pPr>
      <w:r>
        <w:rPr>
          <w:rFonts w:ascii="Calibri" w:hAnsi="Calibri"/>
          <w:b w:val="0"/>
          <w:color w:val="3A4A28"/>
          <w:sz w:val="20"/>
        </w:rPr>
        <w:t>Under Armour, Inc. designs, develops, markets, and distributes athletic and outdoor apparel, footwear, and accessories. The company is executing a multi-year brand repositioning under new leadership, having undergone significant restructuring to exit unprofitable segments, reduce inventory, and refocus on its core performance athletic identity after years of over-expansion.</w:t>
      </w:r>
    </w:p>
    <w:p>
      <w:r>
        <w:rPr>
          <w:rFonts w:ascii="Calibri" w:hAnsi="Calibri"/>
          <w:b/>
          <w:color w:val="6E8450"/>
          <w:sz w:val="18"/>
        </w:rPr>
        <w:t>16,000 Employees · https://www.underarmour.com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Armour has been executing a brand repositioning strategy rather than genuine product innovation — the company contracted revenue intentionally to exit low-margin channels and refocus on performance. This is business model repair, not innovation (0 points Track Record for product launches). Under Armour has deployed digital health platform MapMyFitness and UA Connected technology in footwear, earning 1 point for AI exploration. The brand holds meaningful market share in premium performance athletic wear (behind Nike and Adidas) — scoring 1 point for relevant participant. Product pipeline is focused on FY2026 apparel recovery with no specific named breakthrough products — scoring 1 point for some visibility. R&amp;D intensity is slightly below Nike — scoring 1 for adequate.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Armour's mission 'to make all athletes better through passion, design, and the relentless pursuit of innovation' is specific and distinctive, connecting the brand to athletic performance identity — scoring 3 on mission floor. The company's partnerships with elite athletes and sports programs create genuine community impact for the athletic world — scoring 1. Employee retention has been challenged by multiple waves of restructuring under CEO Kevin Plank (who returned in 2024) — scoring 0. Share repurchases of $115M+ and new $500M buyback program signal management conviction in the recovery — scoring 1 for some insider/management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UAA reported FY2025 revenue of $5.2B (-9.4% YoY) and a net loss of $201.3M[1]. FY2026 revenue guidance is -4% decline — another year of contraction. D/E was 0.31 in FY2025 but TTM total debt has risen to $1.69B versus $464M cash. ROE is deeply negative (-10.6% to -30.4% on TTM basis). Profit margin is -3.9%. Gross margin of 47.9% is actually healthy. The Piotroski F-Score of 3/9 indicates weak financial health. Liquidity: stock price ~$7 × avg daily volume ~3M = ~$21M, comfortably above the $1M floor. No dividend.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Under Armour's return of founder Kevin Plank as CEO in April 2024 represents an attempt to reconnect the company with its founding athletic performance identity — a potentially infinite game restoration. However, the company has been executing reactive restructuring for five years, and the brand's aspirational positioning has been blurred by years of financial-engineering-driven expansion decisions made under prior CEO Patrik Frisk.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Armour's original cause — making athletes better through performance innovation — is a genuine, specific purpose that Plank articulated clearly in the founding era. The return of Plank represents an attempt to restore this cause after years of drift. The mission is clear and distinctive, even if recent execution has been inconsistent. Scores 2 points: genuine cause, partially lived.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Multiple waves of restructuring, CEO changes (Plank → Frisk → Plank), and significant workforce reductions indicate an unstable organizational environment. The Piotroski F-Score of 3/9 and negative operating income suggest ongoing financial stress that would pressure team morale. Scores 0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Armour explicitly positions against Nike and Adidas as worthy rivals who have exposed weaknesses in UA's brand storytelling, global distribution, and product innovation pipeline. Plank's return narrative is explicitly about 'learning from what Nike did right.' Scores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Armour has restructured significantly — exiting unprofitable channels, disposing of non-core assets, refinancing debt. However, these were defensive retrenchments rather than proactive strategic pivots. The brand is returning to its roots rather than innovating to new markets. Scores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Plank's return to lead the company through painful revenue contraction (accepting -9.4% revenue decline in FY2025 and -4% guided in FY2026) in service of rebuilding brand equity demonstrates some courageous long-term thinking over short-term revenue defense. The $247M deferred tax valuation allowance is an honest accounting choice. Scores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Under Armour's bull case is a founder-led turnaround with visible green shoots: Kevin Plank's return has stabilized the brand narrative, gross margin of 47.9% demonstrates underlying product pricing power, and EMEA was projected to grow at high single digits in FY2026[1]. The $500M buyback program signals management confidence, and the North American channel cleanup — exiting off-price and low-margin wholesale — positions the brand for higher-quality revenue in subsequent years. At ~$7/share after a multi-year selloff, UAA trades near balance sheet tangible book value with significant option value if the turnaround succeeds.</w:t>
      </w:r>
    </w:p>
    <w:p>
      <w:pPr>
        <w:spacing w:after="120"/>
      </w:pPr>
      <w:r>
        <w:rPr>
          <w:rFonts w:ascii="Calibri" w:hAnsi="Calibri"/>
          <w:b w:val="0"/>
          <w:color w:val="3A4A28"/>
          <w:sz w:val="20"/>
        </w:rPr>
        <w:t>The bear case is that Under Armour's revenue decline (-9.4% in FY2025, -4% guided FY2026) shows no near-term reversal, while Nike and Lululemon continue to take share with superior brand execution and digital ecosystems[1]. The TTM debt load of $1.69B with negative ROE of -30% and Piotroski F-Score of 3/9 indicates fragile financial health. Any tariff escalation on Asian manufacturing (significant UA sourcing) would pressure gross margins that are the only current bright spot. The company has been in restructuring mode for five years — investors are right to demand evidence before rewarding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North American revenue stabilization and return to growth in FY2027, demonstrating that the channel cleanup and brand repositioning are working and that Under Armour can grow alongside Nike and Adidas rather than losing share</w:t>
      </w:r>
    </w:p>
    <w:p>
      <w:pPr>
        <w:spacing w:before="40" w:after="40"/>
        <w:ind w:left="283"/>
      </w:pPr>
      <w:r>
        <w:rPr>
          <w:rFonts w:ascii="Calibri" w:hAnsi="Calibri"/>
          <w:b/>
          <w:color w:val="4A6B25"/>
          <w:sz w:val="20"/>
        </w:rPr>
        <w:t xml:space="preserve">2. </w:t>
      </w:r>
      <w:r>
        <w:rPr>
          <w:rFonts w:ascii="Calibri" w:hAnsi="Calibri"/>
          <w:b w:val="0"/>
          <w:color w:val="3A4A28"/>
          <w:sz w:val="20"/>
        </w:rPr>
        <w:t>EMEA high single-digit growth materializing consistently for multiple quarters, validating that the international business can be a growth driver while North America recovers</w:t>
      </w:r>
    </w:p>
    <w:p>
      <w:pPr>
        <w:spacing w:before="40" w:after="40"/>
        <w:ind w:left="283"/>
      </w:pPr>
      <w:r>
        <w:rPr>
          <w:rFonts w:ascii="Calibri" w:hAnsi="Calibri"/>
          <w:b/>
          <w:color w:val="4A6B25"/>
          <w:sz w:val="20"/>
        </w:rPr>
        <w:t xml:space="preserve">3. </w:t>
      </w:r>
      <w:r>
        <w:rPr>
          <w:rFonts w:ascii="Calibri" w:hAnsi="Calibri"/>
          <w:b w:val="0"/>
          <w:color w:val="3A4A28"/>
          <w:sz w:val="20"/>
        </w:rPr>
        <w:t>New footwear product launch that captures meaningful market share — footwear is Under Armour's weakest segment versus Nike and Adidas, and a successful footwear entry would significantly expand the brand's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Nike and Adidas accelerating AI-driven personalization and digital ecosystem advantages that systematically erode Under Armour's performance positioning among tech-savvy athletes who prioritize data-driven training</w:t>
      </w:r>
    </w:p>
    <w:p>
      <w:pPr>
        <w:spacing w:before="40" w:after="40"/>
        <w:ind w:left="283"/>
      </w:pPr>
      <w:r>
        <w:rPr>
          <w:rFonts w:ascii="Calibri" w:hAnsi="Calibri"/>
          <w:b/>
          <w:color w:val="4A6B25"/>
          <w:sz w:val="20"/>
        </w:rPr>
        <w:t xml:space="preserve">2. </w:t>
      </w:r>
      <w:r>
        <w:rPr>
          <w:rFonts w:ascii="Calibri" w:hAnsi="Calibri"/>
          <w:b w:val="0"/>
          <w:color w:val="3A4A28"/>
          <w:sz w:val="20"/>
        </w:rPr>
        <w:t>Tariff escalation on Asian-sourced manufacturing increasing COGS and compressing the 47.9% gross margin that is currently the primary financial bright spot in the turnaround story</w:t>
      </w:r>
    </w:p>
    <w:p>
      <w:pPr>
        <w:spacing w:before="40" w:after="40"/>
        <w:ind w:left="283"/>
      </w:pPr>
      <w:r>
        <w:rPr>
          <w:rFonts w:ascii="Calibri" w:hAnsi="Calibri"/>
          <w:b/>
          <w:color w:val="4A6B25"/>
          <w:sz w:val="20"/>
        </w:rPr>
        <w:t xml:space="preserve">3. </w:t>
      </w:r>
      <w:r>
        <w:rPr>
          <w:rFonts w:ascii="Calibri" w:hAnsi="Calibri"/>
          <w:b w:val="0"/>
          <w:color w:val="3A4A28"/>
          <w:sz w:val="20"/>
        </w:rPr>
        <w:t>Kevin Plank departure or leadership instability — the bull case requires founder-led brand restoration over 3-5 years; any leadership disruption would restart the market's confidence-building clock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Armour's core business — designing, manufacturing, and marketing athletic apparel — involves physical products and brand identity that AI cannot replace[1]. AI poses some threat to the design and marketing functions (generative AI for product design, AI-driven personalization at Nike and Adidas), but the brand itself and manufacturing relationships are defensible moats. The Connected Fitness platform (MapMyFitness) could benefit from AI-driven personalization and workout optimization, potentially creating AI-powered stickiness. AI is not an existential threat to athletic apparel, but competitors with superior data assets (Nike with 190M+ Nike app users) can use AI more effectively. Scores 6 on AI Risk Protection and 0 on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Under Armour, 'Second Quarter Fiscal 2026 Results', prnewswire.com, November 2025</w:t>
      </w:r>
    </w:p>
    <w:p>
      <w:pPr>
        <w:spacing w:before="20" w:after="20"/>
        <w:ind w:left="170"/>
      </w:pPr>
      <w:r>
        <w:rPr>
          <w:rFonts w:ascii="Calibri" w:hAnsi="Calibri"/>
          <w:b/>
          <w:color w:val="4A6B25"/>
          <w:sz w:val="15"/>
        </w:rPr>
        <w:t xml:space="preserve">2. </w:t>
      </w:r>
      <w:r>
        <w:rPr>
          <w:rFonts w:ascii="Calibri" w:hAnsi="Calibri"/>
          <w:b w:val="0"/>
          <w:color w:val="3A4A28"/>
          <w:sz w:val="17"/>
        </w:rPr>
        <w:t>GuruFocus, 'Under Armour Inc (UAA) Reports Q1 Fiscal 2026 Earnings', 2025</w:t>
      </w:r>
    </w:p>
    <w:p>
      <w:pPr>
        <w:spacing w:before="20" w:after="20"/>
        <w:ind w:left="170"/>
      </w:pPr>
      <w:r>
        <w:rPr>
          <w:rFonts w:ascii="Calibri" w:hAnsi="Calibri"/>
          <w:b/>
          <w:color w:val="4A6B25"/>
          <w:sz w:val="15"/>
        </w:rPr>
        <w:t xml:space="preserve">3. </w:t>
      </w:r>
      <w:r>
        <w:rPr>
          <w:rFonts w:ascii="Calibri" w:hAnsi="Calibri"/>
          <w:b w:val="0"/>
          <w:color w:val="3A4A28"/>
          <w:sz w:val="17"/>
        </w:rPr>
        <w:t>Motley Fool, 'Under Armour (UAA) Q2 2026 Earnings Transcript', November 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'Under Armour Statistics &amp; Valuation',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