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UBS</w:t>
      </w:r>
      <w:r>
        <w:rPr>
          <w:rFonts w:ascii="Calibri" w:hAnsi="Calibri"/>
          <w:b/>
          <w:color w:val="1A2010"/>
          <w:sz w:val="40"/>
        </w:rPr>
        <w:t xml:space="preserve">  UBS Group AG</w:t>
      </w:r>
    </w:p>
    <w:p>
      <w:pPr>
        <w:spacing w:after="120"/>
      </w:pPr>
      <w:r>
        <w:rPr>
          <w:rFonts w:ascii="Calibri" w:hAnsi="Calibri"/>
          <w:b/>
          <w:color w:val="6E8450"/>
          <w:sz w:val="18"/>
        </w:rPr>
        <w:t>DIVIDEND SLEEVE · 2026-04-13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Switzerland</w:t>
      </w:r>
    </w:p>
    <w:p>
      <w:pPr>
        <w:spacing w:after="80"/>
      </w:pPr>
      <w:r>
        <w:rPr>
          <w:rFonts w:ascii="Calibri" w:hAnsi="Calibri"/>
          <w:b w:val="0"/>
          <w:color w:val="3A4A28"/>
          <w:sz w:val="20"/>
        </w:rPr>
        <w:t>UBS Group AG is the world's largest wealth manager, headquartered in Zurich and operating across Global Wealth Management, Personal &amp; Corporate Banking, Asset Management, and the Investment Bank. Following its 2023 emergency acquisition of Credit Suisse, UBS is on track to complete the integration by end-2026, with $10B of cumulative gross cost savings already realized.</w:t>
      </w:r>
    </w:p>
    <w:p>
      <w:r>
        <w:rPr>
          <w:rFonts w:ascii="Calibri" w:hAnsi="Calibri"/>
          <w:b/>
          <w:color w:val="6E8450"/>
          <w:sz w:val="18"/>
        </w:rPr>
        <w:t>108,000 Employees · https://www.ubs.com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UBS reported FY2025 net profit of $7.8B (diluted EPS $2.36) and Q4 net profit of $1.2B (+56% YoY) with revenues of $12.1B in line with consensus [1]. CET1 ratio of 14.4% remains solid post-Credit Suisse integration [1]. AI Deployment (1/2): CEO Sergio Ermotti said on the Q4 2025 call that UBS is 'accelerating AI investments' to redesign front and back office processes, with 'increasingly strong adoption' of next-gen tools [2]. AI is a productivity tool, not a differentiated wealth-management product. Market Share (2/2): UBS is the world's largest wealth manager and Switzerland's dominant universal bank post-Credit Suisse acquisition, with $10B in cumulative gross cost saves (77% of the $13B target) realized one quarter ahead of schedule [1]. Pipeline (1/2): The 2028 ambitions include continued wealth management share gains and full Credit Suisse integration completion in 2026 [1]. R&amp;D Intensity (0/1): As a wealth manager, UBS does not invest in R&amp;D in the traditional sense; its tech spend is principally on integration and back-office digitalization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UBS frames its mission around 'helping clients achieve what really matters' and a 'one-bank approach,' but the brand has been damaged by historical scandals (2011 rogue trader, 2022 anti-money-laundering issues, the Credit Suisse forced rescue). Community Impact (1/2): As Switzerland's largest bank with 108,000 employees, UBS is a major economic actor; sustainability investing remains a strategic priority despite ESG labeling pullback driven by greenwashing risk [3]. Employee Retention (1/2): Glassdoor data is mixed; the Credit Suisse integration involved significant headcount reductions that have weighed on culture. Insider Buying (1/2): UBS proposed a $1.10 dividend (+22% YoY) and $3B 2026 buyback, signaling capital return discipline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FY2025 results were solid: $7.8B net profit, $2.36 diluted EPS, CET1 ratio of 14.4%, and Q4 revenues of $12.1B (+ Q4 net profit +56% YoY to $1.2B) [1]. Trailing P/E sits around 21.5x while the more telling forward P/E is roughly 11.7x as Credit Suisse synergies flow through [4]. Dividend yield of ~4.1% (with $0.55 semi-annual upcoming) and a 22% dividend hike plus a $3B 2026 buyback support the income thesis [1][4]. Stock has fallen ~15% YTD 2026 amid Swiss capital-rules uncertainty, creating a potential entry [4]. Liquidity easily clears the $1M floor with multi-million-share daily volume on NYSE. The score reflects strong capital generation and shareholder returns offset by integration execution risk and Swiss regulatory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UBS, post-Credit Suisse, is in the rare position of running the only Swiss global universal bank — a structural advantage that supports infinite-game thinking on integration and 2028 ambitions. However, the bank's history of scandals, the forced nature of the Credit Suisse acquisition, and ongoing Swiss capital rule fights temper the score. Ermotti's second tenure has been about discipline and patient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UBS articulates a mission around being the world's preeminent wealth manager and a stable steward of Swiss banking; this is durable but lacks the inspirational depth of mission-driven peers. The Credit Suisse rescue did demonstrate Switzerland-as-a-financial-center commitment.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Ermotti restored culture after the 2011 rogue trader incident, but the Credit Suisse integration involved tens of thousands of layoffs that strain trust. Mixed Glassdoor signals reflect a workforce in transition through 2026.</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UBS competes with Morgan Stanley Wealth Management, JPMorgan Private Bank, Goldman Sachs, and Julius Baer — all formidable rivals that drive UBS to refine its global wealth platform. The Credit Suisse acquisition removed its closest historic Swiss rival.</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Absorbing Credit Suisse over two years, migrating two-thirds of Swiss-booked client accounts already, substantially completing Asset Management integration, and delivering $10B in cumulative cost saves one quarter ahead of plan demonstrates substantial flexibility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Ermotti's decision to absorb Credit Suisse on emergency terms in 2023 was a high-conviction, multi-year integration bet now paying off [1]. However, UBS is also fighting Swiss regulators on capital rules, which is necessary advocacy but creates ongoing tension.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UBS is a deep-value compounding story as the Credit Suisse integration thesis converts to capital returns. FY2025 net profit was $7.8B with Q4 net profit up 56% YoY to $1.2B, and management has delivered $10B in cumulative cost saves — 77% of the $13B target — a full quarter ahead of schedule [1]. The bank is now the world's largest wealth manager with a CET1 ratio of 14.4%, supporting a 22% dividend hike to $1.10 per share, a planned mid-teens% 2026 dividend increase, and a $3B 2026 buyback [1]. Forward P/E of ~11.7x and a ~4.1% dividend yield offer compelling income with optionality on integration completion [4]. CEO Sergio Ermotti has explicitly committed to AI-led redesign of front and back office processes, which should structurally lower the cost/income ratio beyond the original Credit Suisse synergy targets [2]. With YTD 2026 share price down ~15% on Swiss capital rule fears, the entry-point risk-reward is attractive [4].</w:t>
      </w:r>
    </w:p>
    <w:p>
      <w:pPr>
        <w:spacing w:after="120"/>
      </w:pPr>
      <w:r>
        <w:rPr>
          <w:rFonts w:ascii="Calibri" w:hAnsi="Calibri"/>
          <w:b w:val="0"/>
          <w:color w:val="3A4A28"/>
          <w:sz w:val="20"/>
        </w:rPr>
        <w:t>The bear case centers on Swiss capital rules, integration execution, and AI-driven fee compression. Swiss FINMA and the federal council have proposed materially higher capital requirements that could lock up tens of billions in CET1, restricting buyback capacity [1]. The Credit Suisse integration must complete by end-2026 with two-thirds of Swiss client accounts migrated and Asset Management substantially done, but the most complex investment-banking platform unwind and IT decommissioning remain [1]. AI robo-advisors and direct-indexing platforms threaten the mass-affluent fee pool over the medium term [5]. Negative inspire alignment (-49) flags faith-based investor friction, particularly around LGBT activism attribution, which may limit demand from values-based investors. The brand has not fully recovered from the legacy of scandals (2011 rogue trader, AML matters) that periodically resurface. Finally, FX exposure to USD weakening from a Swiss-base reporting currency is a perennial drag.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Final completion of the Credit Suisse integration by end-2026 with the remaining $3B in cost saves to land, driving structurally higher ROE [1]</w:t>
      </w:r>
    </w:p>
    <w:p>
      <w:pPr>
        <w:spacing w:before="40" w:after="40"/>
        <w:ind w:left="283"/>
      </w:pPr>
      <w:r>
        <w:rPr>
          <w:rFonts w:ascii="Calibri" w:hAnsi="Calibri"/>
          <w:b/>
          <w:color w:val="4A6B25"/>
          <w:sz w:val="20"/>
        </w:rPr>
        <w:t xml:space="preserve">2. </w:t>
      </w:r>
      <w:r>
        <w:rPr>
          <w:rFonts w:ascii="Calibri" w:hAnsi="Calibri"/>
          <w:b w:val="0"/>
          <w:color w:val="3A4A28"/>
          <w:sz w:val="20"/>
        </w:rPr>
        <w:t>Resolution of Swiss capital rules without a punitive outcome, freeing capital for the planned $3B 2026 buyback and continued mid-teens dividend growth [1]</w:t>
      </w:r>
    </w:p>
    <w:p>
      <w:pPr>
        <w:spacing w:before="40" w:after="40"/>
        <w:ind w:left="283"/>
      </w:pPr>
      <w:r>
        <w:rPr>
          <w:rFonts w:ascii="Calibri" w:hAnsi="Calibri"/>
          <w:b/>
          <w:color w:val="4A6B25"/>
          <w:sz w:val="20"/>
        </w:rPr>
        <w:t xml:space="preserve">3. </w:t>
      </w:r>
      <w:r>
        <w:rPr>
          <w:rFonts w:ascii="Calibri" w:hAnsi="Calibri"/>
          <w:b w:val="0"/>
          <w:color w:val="3A4A28"/>
          <w:sz w:val="20"/>
        </w:rPr>
        <w:t>Ermotti's AI-led redesign of front/back office processes delivering incremental cost/income ratio improvement beyond the Credit Suisse synergy plan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Swiss capital rule overhaul could force UBS to retain billions of additional CET1, restricting buybacks and dividend growth [1]</w:t>
      </w:r>
    </w:p>
    <w:p>
      <w:pPr>
        <w:spacing w:before="40" w:after="40"/>
        <w:ind w:left="283"/>
      </w:pPr>
      <w:r>
        <w:rPr>
          <w:rFonts w:ascii="Calibri" w:hAnsi="Calibri"/>
          <w:b/>
          <w:color w:val="4A6B25"/>
          <w:sz w:val="20"/>
        </w:rPr>
        <w:t xml:space="preserve">2. </w:t>
      </w:r>
      <w:r>
        <w:rPr>
          <w:rFonts w:ascii="Calibri" w:hAnsi="Calibri"/>
          <w:b w:val="0"/>
          <w:color w:val="3A4A28"/>
          <w:sz w:val="20"/>
        </w:rPr>
        <w:t>AI disruption to mass-affluent wealth management fee pools as robo-advisors and direct indexing platforms erode traditional advisory revenue [2][5]</w:t>
      </w:r>
    </w:p>
    <w:p>
      <w:pPr>
        <w:spacing w:before="40" w:after="40"/>
        <w:ind w:left="283"/>
      </w:pPr>
      <w:r>
        <w:rPr>
          <w:rFonts w:ascii="Calibri" w:hAnsi="Calibri"/>
          <w:b/>
          <w:color w:val="4A6B25"/>
          <w:sz w:val="20"/>
        </w:rPr>
        <w:t xml:space="preserve">3. </w:t>
      </w:r>
      <w:r>
        <w:rPr>
          <w:rFonts w:ascii="Calibri" w:hAnsi="Calibri"/>
          <w:b w:val="0"/>
          <w:color w:val="3A4A28"/>
          <w:sz w:val="20"/>
        </w:rPr>
        <w:t>Faith-alignment misalignment (-49 inspire score, LGBT Activism attribution) may limit demand from values-based investors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UBS's wealth management franchise is partly insulated from AI disruption — ultra-high-net-worth and institutional clients value relationship banking, complex tax/estate structuring, and trusted access more than algorithmic optimization. However, mass-affluent and retail wealth segments face significant pressure from AI robo-advisors, automated planning tools, and direct-indexing platforms that erode fee pools [2][5]. Investment banking back-office is being automated by UBS itself, which creates productivity wins but also signals fee compression risk. AI Opportunity (1/1): Ermotti's commitment to redesign front/back office with AI could unlock additional cost saves on top of the $13B Credit Suisse target, structurally improving the cost/income ratio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UBS Group FY2025 / Q4 2025 Earnings Release — $7.8B FY net profit, $1.2B Q4 (+56%), CET1 14.4%, $1.10 dividend (+22%), $3B 2026 buyback, February 4, 2026</w:t>
      </w:r>
    </w:p>
    <w:p>
      <w:pPr>
        <w:spacing w:before="20" w:after="20"/>
        <w:ind w:left="170"/>
      </w:pPr>
      <w:r>
        <w:rPr>
          <w:rFonts w:ascii="Calibri" w:hAnsi="Calibri"/>
          <w:b/>
          <w:color w:val="4A6B25"/>
          <w:sz w:val="15"/>
        </w:rPr>
        <w:t xml:space="preserve">2. </w:t>
      </w:r>
      <w:r>
        <w:rPr>
          <w:rFonts w:ascii="Calibri" w:hAnsi="Calibri"/>
          <w:b w:val="0"/>
          <w:color w:val="3A4A28"/>
          <w:sz w:val="17"/>
        </w:rPr>
        <w:t>Banking Dive / Yahoo Finance — UBS deploys AI programs to unlock efficiency, Ermotti commentary on AI-led front/back office redesign, Q4 2025 call</w:t>
      </w:r>
    </w:p>
    <w:p>
      <w:pPr>
        <w:spacing w:before="20" w:after="20"/>
        <w:ind w:left="170"/>
      </w:pPr>
      <w:r>
        <w:rPr>
          <w:rFonts w:ascii="Calibri" w:hAnsi="Calibri"/>
          <w:b/>
          <w:color w:val="4A6B25"/>
          <w:sz w:val="15"/>
        </w:rPr>
        <w:t xml:space="preserve">3. </w:t>
      </w:r>
      <w:r>
        <w:rPr>
          <w:rFonts w:ascii="Calibri" w:hAnsi="Calibri"/>
          <w:b w:val="0"/>
          <w:color w:val="3A4A28"/>
          <w:sz w:val="17"/>
        </w:rPr>
        <w:t>Bloomberg / BIX — UBS bankers asked to rethink ESG labels amid greenwashing risk, March 2025 Sustainability at UBS</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UBS valuation: trailing P/E ~21.5x, forward P/E ~11.7x, dividend yield ~4.1%,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Ad-hoc-news.de / IMD — AI disruption fears in wealth management sector, machine intelligence to shake up banking,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