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UCTT</w:t>
      </w:r>
      <w:r>
        <w:rPr>
          <w:rFonts w:ascii="Calibri" w:hAnsi="Calibri"/>
          <w:b/>
          <w:color w:val="1A2010"/>
          <w:sz w:val="40"/>
        </w:rPr>
        <w:t xml:space="preserve">  Ultra Clean Holdings, Inc.</w:t>
      </w:r>
    </w:p>
    <w:p>
      <w:pPr>
        <w:spacing w:after="120"/>
      </w:pPr>
      <w:r>
        <w:rPr>
          <w:rFonts w:ascii="Calibri" w:hAnsi="Calibri"/>
          <w:b/>
          <w:color w:val="6E8450"/>
          <w:sz w:val="18"/>
        </w:rPr>
        <w:t>GROWTH SLEEVE · 2026-04-28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Ultra Clean Holdings develops and supplies critical subsystems, components, parts, and cleaning and analytical services for the semiconductor industry. The company provides outsourced solutions for design, engineering, manufacturing, and testing of advanced semiconductor systems, including gas delivery, chemical delivery, fluid delivery, and wafer cleaning services worldwide.</w:t>
      </w:r>
    </w:p>
    <w:p>
      <w:r>
        <w:rPr>
          <w:rFonts w:ascii="Calibri" w:hAnsi="Calibri"/>
          <w:b/>
          <w:color w:val="6E8450"/>
          <w:sz w:val="18"/>
        </w:rPr>
        <w:t>6,948 Employees · https://www.uct.com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UCT has executed meaningful expansion over the past five years, growing from a niche parts cleaning business into a vertically integrated semiconductor subsystems supplier through the 2021 HAM-LET acquisition, which added fluid management capabilities and diversified revenue beyond gas delivery [1]. The company reached $2.05B in 2025 revenue, nearly tripling since 2019. AI Deployment (1/2): UCT has deployed AI-driven predictive maintenance in its service operations to improve uptime and reduce field costs, though this remains internal rather than a customer-facing AI product [2]. Market Share (1/2): UCT is a meaningful participant in semiconductor critical subsystems but competes against larger players like Applied Materials, Lam Research, and Entegris. The company's integrated cleaning-plus-manufacturing model provides differentiation but not market leadership. Product Pipeline (1/2): CEO James Xiao's 'UCT 3.0' strategy targets advanced packaging and AI-driven memory demand, with WFE growth forecasted at 15-20% in 2026, though specific next-gen product timelines are vague [1]. R&amp;D Intensity (1/1): R&amp;D spending of $32M in 2025 (1.6% of revenue) is modest in absolute terms but consistent with a contract-manufacturing-oriented model, and increased 13% YoY reflecting investment in new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UCT's stated purpose centers on enabling semiconductor innovation through critical subsystems and services — a clear articulation of what they do and for whom, but not distinctively inspirational or connected to a deeper societal cause beyond industry function. Community Impact (0/2): No evidence of significant charitable programs or community investment beyond standard corporate practices. UCT participates in the Responsible Business Alliance Code of Conduct and follows responsible minerals practices, but these are industry baseline requirements rather than distinctive initiatives [3]. Employee Retention (1/2): The leadership transition to CEO James Xiao in September 2025 was orderly, and he brings 30+ years of semiconductor experience including 19 years at Applied Materials [2]. Chairman Clarence Granger's planned step-down in May 2026 with board continuity suggests institutional stability. No specific employee retention metrics available. Insider Buying (1/2): Insider transactions show roughly balanced activity with new CEO Xiao receiving substantial equity compensation aligning his interests with shareholders, though no significant net insider buying reported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UCT's infrastructure scores moderately on the mechanical calculation, hampered by a loss year in 2025. D/E of 83.4% is above the 70% target but well below the 300% floor, reflecting manageable leverage from the HAM-LET acquisition [4]. ROE is deeply negative at -20.0% due to a 2025 net loss of $181M driven by goodwill impairment and restructuring charges, scoring 0 on this metric [1]. Forward P/E of 23.5x is above the 20x target but reasonable for a semiconductor equipment company entering a recovery cycle with analysts expecting EPS to reach $2.16 in 2027 [1]. Profit margin is negative at -8.8%, scoring 0, though this reflects one-time charges rather than structural unprofitability. Revenue growth 5yr CAGR of approximately 7.5% is healthy, and forward PEG of 1.21 is attractive. Liquidity floor cleared easily: 1.36M avg volume × $81.09 = $110M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UCT operates with a mixed infinite game orientation. The company has demonstrated meaningful strategic evolution from a cleaning services niche player to a vertically integrated subsystems supplier, and the new 'UCT 3.0' vision under CEO Xiao signals long-term ambition. However, frequent leadership changes, cyclical business characteristics, and a purpose statement that lacks transcendent depth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UCT's purpose centers on enabling semiconductor innovation through critical subsystems — a functional description of its role in the value chain rather than a vision of a better future. The company exists to serve chipmakers efficiently, which is necessary but not inspiring in Sinek's framework. The 'UCT 3.0' strategy articulates growth ambitions but not a cause worth sacrificing for.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UCT's participation in the Responsible Business Alliance Code of Conduct establishes baseline standards for working conditions across its global operations [3]. The orderly chairman succession from Granger to Edman suggests board-level stability. However, the CEO change to Xiao in September 2025 following prior leadership transitions introduces uncertainty, and no specific evidence of exceptional employee trust, empowerment, or cultural distinction was found. The workforce of nearly 7,000 employees across multiple countries adds organizational complexity.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UCT competes against much larger rivals — Applied Materials, Lam Research, Entegris — without adopting combative language. The company positions itself as a complementary partner to OEMs rather than a direct competitor, and CEO Xiao's background at Applied Materials (19 years) suggests respect for rivals' strengths [2]. UCT's competitive strategy focuses on vertical integration and service quality rather than market share warfare.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UCT has evolved meaningfully from a parts cleaning company to a vertically integrated subsystems supplier, with the HAM-LET acquisition adding fluid management and expanding the addressable market [1]. The shift toward advanced packaging and AI-driven semiconductor demand under 'UCT 3.0' represents continued strategic adaptation. These are incremental rather than transformative pivots — UCT hasn't abandoned a profitable core in service of a cause, but it has consistently expanded its capabilities in response to industry evolution.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HAM-LET acquisition in 2021 was a meaningful bet that expanded UCT's capabilities at the cost of significant leverage and integration complexity [1]. CEO Xiao's 'UCT 3.0' plan represents forward-looking investment in advanced packaging and AI-driven demand. However, the company's 2025 goodwill impairment and restructuring charges suggest some prior strategic decisions did not pan out, and the leadership transition itself — third CEO in recent years — signals organizational instability rather than courageous consistency.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Ultra Clean Holdings is positioned to benefit from a powerful semiconductor upcycle driven by AI infrastructure buildout and advanced packaging demand. Management has raised its 2026 WFE growth forecast to 15-20%, and analysts project Q1 2026 revenue of $575M with EPS recovering to $0.12 after a 2025 loss year [1]. The forward PEG of 1.21 is attractive for a company expected to nearly double EPS from $1.09 to $2.16 over the next year, and the 'UCT 3.0' strategy under new CEO James Xiao targets further vertical integration and exposure to advanced packaging, the fastest-growing segment of semiconductor equipment [2]. At $3.6B market cap and 23.5x forward earnings, UCT offers leveraged upside to the AI capex cycle with a vertically integrated model spanning subsystems manufacturing, precision cleaning, and fluid delivery.</w:t>
      </w:r>
    </w:p>
    <w:p>
      <w:pPr>
        <w:spacing w:after="120"/>
      </w:pPr>
      <w:r>
        <w:rPr>
          <w:rFonts w:ascii="Calibri" w:hAnsi="Calibri"/>
          <w:b w:val="0"/>
          <w:color w:val="3A4A28"/>
          <w:sz w:val="20"/>
        </w:rPr>
        <w:t>The bear case centers on 2025's painful financial results and structural concerns. UCT reported a net loss of $181M in 2025 on revenue that declined 2% to $2.05B, with goodwill impairment charges highlighting that the HAM-LET acquisition premium has not been fully recovered [1]. D/E of 83% reflects lingering acquisition debt, and negative ROE of -20% demonstrates the business has not yet proven it can consistently generate economic value above its cost of capital across semiconductor cycles. The CEO transition to James Xiao — the third leadership change in recent years — introduces execution risk on the 'UCT 3.0' strategy at a critical inflection point. UCT's revenue is heavily tied to WFE spending by a concentrated customer base of major chip equipment OEMs, making it vulnerable to sudden capex cuts if AI demand forecasts prove overly optimistic or if geopolitical tensions disrupt supply chains [2]. The stock has surged from $18 to $81 in 12 months, pricing in significant recovery that must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WFE growth forecast raised to 15-20% for 2026, driven by AI infrastructure buildout and advanced packaging demand, with Q1 2026 revenue expected at $575M representing strong sequential and YoY growth [1]</w:t>
      </w:r>
    </w:p>
    <w:p>
      <w:pPr>
        <w:spacing w:before="40" w:after="40"/>
        <w:ind w:left="283"/>
      </w:pPr>
      <w:r>
        <w:rPr>
          <w:rFonts w:ascii="Calibri" w:hAnsi="Calibri"/>
          <w:b/>
          <w:color w:val="4A6B25"/>
          <w:sz w:val="20"/>
        </w:rPr>
        <w:t xml:space="preserve">2. </w:t>
      </w:r>
      <w:r>
        <w:rPr>
          <w:rFonts w:ascii="Calibri" w:hAnsi="Calibri"/>
          <w:b w:val="0"/>
          <w:color w:val="3A4A28"/>
          <w:sz w:val="20"/>
        </w:rPr>
        <w:t>CEO Xiao's 'UCT 3.0' strategy targeting advanced packaging and AI-driven memory demand, leveraging his 30+ years of semiconductor experience including 19 years at Applied Materials [2]</w:t>
      </w:r>
    </w:p>
    <w:p>
      <w:pPr>
        <w:spacing w:before="40" w:after="40"/>
        <w:ind w:left="283"/>
      </w:pPr>
      <w:r>
        <w:rPr>
          <w:rFonts w:ascii="Calibri" w:hAnsi="Calibri"/>
          <w:b/>
          <w:color w:val="4A6B25"/>
          <w:sz w:val="20"/>
        </w:rPr>
        <w:t xml:space="preserve">3. </w:t>
      </w:r>
      <w:r>
        <w:rPr>
          <w:rFonts w:ascii="Calibri" w:hAnsi="Calibri"/>
          <w:b w:val="0"/>
          <w:color w:val="3A4A28"/>
          <w:sz w:val="20"/>
        </w:rPr>
        <w:t>EPS recovery from 2025 loss year to projected $1.09 in 2026 and $2.16 in 2027, representing a potential 98% growth rate as one-time charges roll off and operating leverage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capex cyclicality — UCT's revenue dropped from $2.37B in 2022 to $1.73B in 2023 (-27%) during the last downcycle, demonstrating extreme sensitivity to WFE spending cuts that could recur if AI demand disappoints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 third CEO transition in recent years with Xiao taking over in September 2025, creating execution risk on strategic transformation during a critical industry inflection point [2]</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and leverage — D/E of 83% and 2025 goodwill impairment on the HAM-LET acquisition raise questions about capital allocation discipline and ability to service debt if the recovery stalls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UCT's core business — manufacturing physical semiconductor subsystems, gas delivery systems, chemical delivery, and precision parts cleaning — is structurally immune to AI substitution. These are physical-world operations requiring cleanroom manufacturing, precision engineering, and direct integration with semiconductor fab equipment [2]. AI actually increases demand for UCT's products: generative AI infrastructure requires more advanced semiconductors, driving higher WFE spending that management has forecasted at 15-20% growth in 2026 [1]. The company's cleaning and analytical services are essential for maintaining fab yield and cannot be replaced by software. Geopolitical supply chain shifts and advanced packaging requirements for AI chips create additional demand tailwinds. AI Opportunity (1/1): UCT generates meaningful AI-related revenue as a direct beneficiary of AI-driven semiconductor capital expenditure. The company's subsystems and cleaning services support AI chip manufacturing at major foundries and logic fabs, with AI and memory-driven demand identified as a key growth driver in the 'UCT 3.0'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Ultra Clean Holdings Q4 2025 and FY2025 earnings results — $2.05B revenue, net loss of $181M, WFE growth forecast 15-20% for 2026; Yahoo Finance and analyst estimates,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Ultra Clean Holdings leadership transition — CEO James Xiao appointed September 2025, 'UCT 3.0' strategy, AI-driven demand outlook; Investing.com, AInvest, company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Ultra Clean Holdings ESG practices — RBA Code of Conduct participation, responsible minerals sourcing, chemical-free cleaning processes; company website (uct.com/about-uct/esg),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UCTT — key statistics including D/E 83.4%, Forward P/E 23.5x, PEG 1.24, avg volume 1.36M;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