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UDR</w:t>
      </w:r>
      <w:r>
        <w:rPr>
          <w:rFonts w:ascii="Calibri" w:hAnsi="Calibri"/>
          <w:b/>
          <w:color w:val="1A2010"/>
          <w:sz w:val="40"/>
        </w:rPr>
        <w:t xml:space="preserve">  UDR, Inc.</w:t>
      </w:r>
    </w:p>
    <w:p>
      <w:pPr>
        <w:spacing w:after="120"/>
      </w:pPr>
      <w:r>
        <w:rPr>
          <w:rFonts w:ascii="Calibri" w:hAnsi="Calibri"/>
          <w:b/>
          <w:color w:val="6E8450"/>
          <w:sz w:val="18"/>
        </w:rPr>
        <w:t>DIVIDEND SLEEVE · 2026-04-01 · Inspire: 61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Residential · NYSE · United States</w:t>
      </w:r>
    </w:p>
    <w:p>
      <w:pPr>
        <w:spacing w:after="80"/>
      </w:pPr>
      <w:r>
        <w:rPr>
          <w:rFonts w:ascii="Calibri" w:hAnsi="Calibri"/>
          <w:b w:val="0"/>
          <w:color w:val="3A4A28"/>
          <w:sz w:val="20"/>
        </w:rPr>
        <w:t>UDR, Inc. is an S&amp;P 500 multifamily REIT that owns or has an ownership position in 60,941 apartment homes across targeted U.S. markets. Founded in 1972, UDR has a 53+ year operating history and has delivered an average annual shareholder return of 10% under current CEO Tom Toomey. The company focuses on acquiring, developing, and managing apartment communities in high-barrier coastal and select Sunbelt markets.</w:t>
      </w:r>
    </w:p>
    <w:p>
      <w:r>
        <w:rPr>
          <w:rFonts w:ascii="Calibri" w:hAnsi="Calibri"/>
          <w:b/>
          <w:color w:val="6E8450"/>
          <w:sz w:val="18"/>
        </w:rPr>
        <w:t>1,420 Employees · https://www.udr.com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UDR has incrementally evolved its portfolio through $23B in acquisitions/dispositions and $5B in development over Toomey's tenure, but has not executed a transformative business model pivot — it remains a traditional apartment REIT [1][2]. AI Deployment (2/2): UDR is a leader in PropTech adoption for a REIT — the ACE Virtual Leasing Assistant has reduced call management costs by 65%, AI-driven predictive maintenance reduces downtime, and AI-based CRM systems have improved prospect conversion by 13% [2]. These are quantifiable operational improvements. Market Share (1/2): UDR is a meaningful player in the multifamily REIT space with 60,941 homes, but is smaller than AvalonBay (90K+), Equity Residential (80K+), and MAA (100K+) [1]. Pipeline (0/2): No significant next-generation development pipeline; the company plans to be a net seller in 2026 with ~$700M in assets marketed for sale [1]. R&amp;D Intensity (1/1): UDR has committed $35M to ESG and Climate Technology Funds and invests in PropTech partnerships above REIT industry norms [2][3].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UDR's stated culture emphasizes 'collaboration, trust, and innovation where every individual feels welcomed, valued, proud, and empowered' — a clear but generic corporate values statement that could apply to any REIT [2]. The 53-year history demonstrates longevity but the purpose doesn't articulate a distinctive vision for the future of housing. Community Impact (1/2): UDR has 38 sustainably certified communities (20%+ of portfolio), completed LEED Homes Award-winning developments, and committed $35M to ESG/Climate Technology Funds, showing genuine environmental investment [3]. Employee Retention (1/2): UDR's 20% associate turnover rate versus the 34% industry average is standout evidence of above-average retention [3]. Glassdoor rating of 3.7/5 with 63% recommending and an A+ executive team rating on Comparably further supports this [2]. Insider Buying (1/2): CEO Toomey's 24-year tenure and significant equity compensation demonstrate personal alignment, and ESG-linked executive compensation shows stakeholder commitment, though specific net insider buying data was not identified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UDR's financial profile reflects a stable but leveraged REIT. D/E of 144.7% is elevated but typical for REITs that use debt financing for property acquisitions; the company plans to repay $801M in debt in 2026 [1][4]. Profit margin of 21.6% exceeds the 20% target, and ROE of 9.4% is respectable for a REIT though below the 15% threshold [4]. Revenue of $1.75B grew only 1.5% YoY, with a 3-year CAGR of ~5%, reflecting the mature nature of apartment operations in a supply-heavy market [1]. Forward P/E of 62.3x is at the scoring floor, reflecting REIT valuation conventions where FFO/AFFO are more relevant than GAAP earnings [4]. The 5.15% dividend yield is attractive but the 151.8% GAAP payout ratio (normal for REITs distributing 90%+ of taxable income) scores poorly mechanically. UDR has paid dividends for 53+ consecutive years with modest annual growth of ~2-3% [1]. Liquidity floor cleared: 4.3M avg volume x $34.24 = $147M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UDR demonstrates strong infinite game characteristics through its 53-year operating history, long-tenured leadership, and consistent strategic focus on multifamily housing through multiple real estate cycles. The company plays to endure rather than to win any single quarter, though its strategic ambition is more about steady execution than bold transformation.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UDR's purpose — providing high-quality apartment living in targeted U.S. markets — has been consistently executed for 53 years across multiple real estate cycles, leadership transitions, and economic crises [1]. The cause is validated by decades of execution and a 10% average annual shareholder return under Toomey. However, apartment management is more of a durable business strategy than a transcendent cause that inspires sacrifice. It lacks the idealistic 'future state that doesn't yet exist' quality Sinek requires for top scores. Score: 2/3 weighted points.</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UDR demonstrates high organizational trust through multiple data points: 20% associate turnover versus 34% industry average, Glassdoor 3.7/5 with 63% recommending, Comparably A+ executive team rating, and orderly leadership promotions (Lacy to COO, Fisher to CIO) that signal internal career development over external hiring [2][3]. ESG-linked compensation for senior leadership aligns incentives with long-term stakeholder value. This is a high-trust organization by Sinek's standards. Score: 2/2 weighted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UDR operates in a market with formidable rivals — AvalonBay, Equity Residential, MAA — and uses their strengths to improve its own operations. The company's aggressive PropTech adoption and AI-driven operational efficiency reflect a learning-oriented competitive response to peers with larger portfolios [2]. Management focuses on outperforming through innovation and resident experience rather than scale-based market share battles. Score: 1/1 weighted point.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UDR has remained a multifamily apartment REIT for its entire 53-year history. While it has evolved its geographic focus (adding Sunbelt markets), adopted technology (PropTech, AI), and refined its capital allocation strategy, it has never faced or passed Sinek's test of transformative reinvention [1]. The company is too young in its current strategic pivot to have demonstrated existential flexibility — it has optimized within its domain rather than reimagined it. Score: 0/2 weighted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UDR has demonstrated courage through counter-cyclical capital allocation — planning to be a net seller of ~$700M in assets during 2026 despite a challenging market signals willingness to trade short-term portfolio size for long-term financial positioning [1]. The $35M commitment to ESG and Climate Technology Funds and industry-leading sustainability certifications show willingness to invest ahead of regulatory requirements. Score: 1/2 weighted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UDR is a blue-chip multifamily REIT with a 53-year track record, 5.15% dividend yield, and S&amp;P 500 membership. FY2025 FFO/share of $2.43 with 2026 guidance of $2.47-2.57 (1.6-5.8% growth) and a 1.2% dividend increase demonstrate steady cash generation from 60,941 apartment homes [1]. The company's 20% employee turnover (vs. 34% industry average) and AI-driven operational efficiencies — including 65% reduction in call management costs and 13% improvement in prospect conversion — create a durable competitive advantage in property management [2]. At $34.24/share with a 5.15% yield, UDR offers reliable income with potential for mid-single-digit total returns as same-store revenue growth of 0.25-2.25% and renewal rent increases of 5-6% drive NOI expansion [1].</w:t>
      </w:r>
    </w:p>
    <w:p>
      <w:pPr>
        <w:spacing w:after="120"/>
      </w:pPr>
      <w:r>
        <w:rPr>
          <w:rFonts w:ascii="Calibri" w:hAnsi="Calibri"/>
          <w:b w:val="0"/>
          <w:color w:val="3A4A28"/>
          <w:sz w:val="20"/>
        </w:rPr>
        <w:t>The bear case centers on slow growth, high leverage, and macro uncertainty. Revenue grew only 1.5% YoY and the 3-year revenue CAGR of ~5% reflects a mature business in a supply-heavy apartment market [4]. D/E of 144.7% creates interest rate sensitivity — while $801M in 2026 debt repayments will deleverage, rising rates could pressure refinancing costs. Forward P/E of 62.3x on GAAP earnings is at extreme levels (though FFO-based valuation is more favorable). Sunbelt supply pressure from new apartment deliveries could constrain lease rate growth in key markets like Dallas, Nashville, and Denver [1]. Muted job growth expectations for 2026, consumer confidence at decade lows, and regulatory risk from potential rent regulation in coastal markets create demand headwinds. The planned ~$700M in asset sales could indicate management's view that current pricing is favorable for sellers, not buyers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Renewal rent growth of 5-6% in H1 2026 driving same-store revenue growth toward the upper end of 0.25-2.25% guidance range [1]</w:t>
      </w:r>
    </w:p>
    <w:p>
      <w:pPr>
        <w:spacing w:before="40" w:after="40"/>
        <w:ind w:left="283"/>
      </w:pPr>
      <w:r>
        <w:rPr>
          <w:rFonts w:ascii="Calibri" w:hAnsi="Calibri"/>
          <w:b/>
          <w:color w:val="4A6B25"/>
          <w:sz w:val="20"/>
        </w:rPr>
        <w:t xml:space="preserve">2. </w:t>
      </w:r>
      <w:r>
        <w:rPr>
          <w:rFonts w:ascii="Calibri" w:hAnsi="Calibri"/>
          <w:b w:val="0"/>
          <w:color w:val="3A4A28"/>
          <w:sz w:val="20"/>
        </w:rPr>
        <w:t>Debt reduction of $801M in 2026 deleveraging the balance sheet and reducing interest rate sensitivity [1]</w:t>
      </w:r>
    </w:p>
    <w:p>
      <w:pPr>
        <w:spacing w:before="40" w:after="40"/>
        <w:ind w:left="283"/>
      </w:pPr>
      <w:r>
        <w:rPr>
          <w:rFonts w:ascii="Calibri" w:hAnsi="Calibri"/>
          <w:b/>
          <w:color w:val="4A6B25"/>
          <w:sz w:val="20"/>
        </w:rPr>
        <w:t xml:space="preserve">3. </w:t>
      </w:r>
      <w:r>
        <w:rPr>
          <w:rFonts w:ascii="Calibri" w:hAnsi="Calibri"/>
          <w:b w:val="0"/>
          <w:color w:val="3A4A28"/>
          <w:sz w:val="20"/>
        </w:rPr>
        <w:t>AI-driven operational efficiency gains — ACE Virtual Leasing, predictive maintenance, and PropTech partnerships contributing incremental NOI above market-level growth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Sunbelt apartment supply wave — elevated new deliveries in key markets could pressure occupancy and rent growth below the low end of same-store revenue guidance [1]</w:t>
      </w:r>
    </w:p>
    <w:p>
      <w:pPr>
        <w:spacing w:before="40" w:after="40"/>
        <w:ind w:left="283"/>
      </w:pPr>
      <w:r>
        <w:rPr>
          <w:rFonts w:ascii="Calibri" w:hAnsi="Calibri"/>
          <w:b/>
          <w:color w:val="4A6B25"/>
          <w:sz w:val="20"/>
        </w:rPr>
        <w:t xml:space="preserve">2. </w:t>
      </w:r>
      <w:r>
        <w:rPr>
          <w:rFonts w:ascii="Calibri" w:hAnsi="Calibri"/>
          <w:b w:val="0"/>
          <w:color w:val="3A4A28"/>
          <w:sz w:val="20"/>
        </w:rPr>
        <w:t>Interest rate sensitivity — D/E of 144.7% and $6B total debt create refinancing risk if rates remain elevated, compressing the spread between cap rates and borrowing costs [4]</w:t>
      </w:r>
    </w:p>
    <w:p>
      <w:pPr>
        <w:spacing w:before="40" w:after="40"/>
        <w:ind w:left="283"/>
      </w:pPr>
      <w:r>
        <w:rPr>
          <w:rFonts w:ascii="Calibri" w:hAnsi="Calibri"/>
          <w:b/>
          <w:color w:val="4A6B25"/>
          <w:sz w:val="20"/>
        </w:rPr>
        <w:t xml:space="preserve">3. </w:t>
      </w:r>
      <w:r>
        <w:rPr>
          <w:rFonts w:ascii="Calibri" w:hAnsi="Calibri"/>
          <w:b w:val="0"/>
          <w:color w:val="3A4A28"/>
          <w:sz w:val="20"/>
        </w:rPr>
        <w:t>Consumer demand softening — decade-low consumer confidence, muted job growth expectations, and potential immigration restrictions could reduce renter demand in UDR's target markets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Multifamily real estate ownership and management is fundamentally physical-world infrastructure — people need apartments regardless of AI advancement, and no AI can replace a physical living space [2]. UDR's 60,941 apartment homes in high-barrier markets represent irreplaceable physical assets with location-based value that AI cannot disrupt. While alternative housing platforms (Airbnb, co-living) create some competitive pressure, the core apartment ownership business model is structurally immune to AI substitution. AI Opportunity (1/1): UDR generates quantifiable operational savings from AI deployment — the ACE Virtual Leasing Assistant reduces call management costs by 65%, AI-driven predictive maintenance reduces downtime, and AI-based prospect conversion improvement of 13% translates to reduced vacancy days and incremental NOI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UDR Q4 2025 Earnings Call and FY2026 Guidance — FFO/share $2.43, 2026 guidance $2.47-2.57, $700M net seller target, February 2026</w:t>
      </w:r>
    </w:p>
    <w:p>
      <w:pPr>
        <w:spacing w:before="20" w:after="20"/>
        <w:ind w:left="170"/>
      </w:pPr>
      <w:r>
        <w:rPr>
          <w:rFonts w:ascii="Calibri" w:hAnsi="Calibri"/>
          <w:b/>
          <w:color w:val="4A6B25"/>
          <w:sz w:val="15"/>
        </w:rPr>
        <w:t xml:space="preserve">2. </w:t>
      </w:r>
      <w:r>
        <w:rPr>
          <w:rFonts w:ascii="Calibri" w:hAnsi="Calibri"/>
          <w:b w:val="0"/>
          <w:color w:val="3A4A28"/>
          <w:sz w:val="17"/>
        </w:rPr>
        <w:t>UDR Corporate Communications — AI/PropTech adoption (ACE Virtual Leasing, predictive maintenance), leadership promotions, Glassdoor/Comparably ratings</w:t>
      </w:r>
    </w:p>
    <w:p>
      <w:pPr>
        <w:spacing w:before="20" w:after="20"/>
        <w:ind w:left="170"/>
      </w:pPr>
      <w:r>
        <w:rPr>
          <w:rFonts w:ascii="Calibri" w:hAnsi="Calibri"/>
          <w:b/>
          <w:color w:val="4A6B25"/>
          <w:sz w:val="15"/>
        </w:rPr>
        <w:t xml:space="preserve">3. </w:t>
      </w:r>
      <w:r>
        <w:rPr>
          <w:rFonts w:ascii="Calibri" w:hAnsi="Calibri"/>
          <w:b w:val="0"/>
          <w:color w:val="3A4A28"/>
          <w:sz w:val="17"/>
        </w:rPr>
        <w:t>UDR 2025 Corporate Responsibility Report — GRESB 87 score, $35M ESG/Climate Tech commitment, 38 sustainably certified communities, LEED Homes Awards</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UDR (UDR, Inc.), retrieved April 1,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