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UEC</w:t>
      </w:r>
      <w:r>
        <w:rPr>
          <w:rFonts w:ascii="Calibri" w:hAnsi="Calibri"/>
          <w:b/>
          <w:color w:val="1A2010"/>
          <w:sz w:val="40"/>
        </w:rPr>
        <w:t xml:space="preserve">  Uranium Energy Corp.</w:t>
      </w:r>
    </w:p>
    <w:p>
      <w:pPr>
        <w:spacing w:after="120"/>
      </w:pPr>
      <w:r>
        <w:rPr>
          <w:rFonts w:ascii="Calibri" w:hAnsi="Calibri"/>
          <w:b/>
          <w:color w:val="6E8450"/>
          <w:sz w:val="18"/>
        </w:rPr>
        <w:t>GROWTH SLEEVE · 2026-03-27 · Inspire: 33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Uranium · NYSE · United States</w:t>
      </w:r>
    </w:p>
    <w:p>
      <w:pPr>
        <w:spacing w:after="80"/>
      </w:pPr>
      <w:r>
        <w:rPr>
          <w:rFonts w:ascii="Calibri" w:hAnsi="Calibri"/>
          <w:b w:val="0"/>
          <w:color w:val="3A4A28"/>
          <w:sz w:val="20"/>
        </w:rPr>
        <w:t>Uranium Energy Corp. is America's largest and fastest-growing uranium supplier, advancing low-cost, environmentally friendly in-situ recovery (ISR) mining projects in the U.S. and high-grade conventional projects in Canada. The company operates hub-and-spoke ISR platforms in Wyoming and South Texas with a debt-free balance sheet.</w:t>
      </w:r>
    </w:p>
    <w:p>
      <w:r>
        <w:rPr>
          <w:rFonts w:ascii="Calibri" w:hAnsi="Calibri"/>
          <w:b/>
          <w:color w:val="6E8450"/>
          <w:sz w:val="18"/>
        </w:rPr>
        <w:t>171 Employees · https://www.uraniumenergy.com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UEC's ISR mining technology represents a genuinely lower-cost, lower-impact extraction method compared to conventional uranium mining, and the company is scaling a hub-and-spoke operational model across Wyoming and South Texas [1][2]. The incorporation of UR&amp;C (United States Uranium Refining &amp; Conversion Corp.) positions UEC to become the only U.S. supplier with both uranium and UF6 production capabilities — a significant vertical integration innovation [1]. CEO Amir Adnani's appointment to the World Nuclear Association Board signals industry recognition, though the company's Q2 FY2026 production of only 45,743 lbs U3O8 reveals the early stage of operational scale-up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UEC's mission centers on providing uranium fuel for clean, carbon-free nuclear energy aligned with U.S. energy security and independence from Russian supply chains, which carries genuine national importance [2]. CEO Adnani's CNBC appearances framing uranium demand in the 'Age of AI' effectively communicate purpose to stakeholders. Management tenure averaging 11.4 years and board tenure of 16 years signals deep commitment, though the 171-employee count limits cultural assessment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UEC maintains a debt-free balance sheet with $818M in liquid assets including $486M cash, providing exceptional financial flexibility [1]. However, the company produced only $20.2M in Q2 revenue, has negative ROE (-7.1%), and a forward P/E of 348x reflecting extreme speculation [4]. Revenue declined 59.4% YoY due to production ramp-up delays, and profit margin is zero. The stock's $6.4B market cap relative to minimal revenue reflects nuclear energy sentiment rather than fundamentals.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UEC demonstrates elements of infinite game thinking through its long-term positioning for the nuclear renaissance and willingness to build vertically integrated capabilities (UR&amp;C), but the speculative nature of the stock and dependence on regulatory timelines create finite pressures around near-term production milestones.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UEC's cause — providing domestically sourced uranium to reduce dependence on Russian and Kazakh supplies while enabling clean nuclear energy — connects to national security, energy independence, and climate goals simultaneously [2]. This multi-dimensional purpose transcends quarterly financial performance and gains urgency from geopolitical context.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Management tenure averaging 11.4 years is exceptional for a company of UEC's size, indicating deep trust and alignment [2]. CEO Adnani has led since 2005, providing two decades of consistent strategic direction. The 171-employee organization is lean but focused, with experienced technical teams across its ISR operations.</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UEC competes against Cameco, Kazatomprom, and other uranium producers but positions itself as uniquely American rather than learning from larger rivals. CEO Adnani's WNA Board appointment suggests engagement with the broader nuclear community, but competitive messaging emphasizes being 'America's largest' rather than improvement through rivalry.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UR&amp;C incorporation to pursue uranium refining and conversion represents genuine vertical integration beyond mining [1]. The Roughrider conventional project in Saskatchewan diversifies beyond ISR technology. However, UEC remains a single-commodity company entirely dependent on uranium demand, with limited diversification into other energy minerals.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UEC maintained its unhedged uranium sales strategy, achieving $101/lb versus $80.76 spot average — a bold contrarian position that has paid off [1]. The $818M liquidity position reflects conservative balance sheet management. However, the company's aggressive production timeline faces regulatory delays it cannot fully control.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UEC offers pure-play exposure to the nuclear energy renaissance driven by AI data center demand, U.S. energy security imperatives, and the global pledge to triple nuclear capacity by 2050 [2]. The company's debt-free balance sheet with $818M in liquidity, unhedged sales strategy achieving $101/lb premiums to spot, and vertical integration into refining/conversion (UR&amp;C) create a differentiated platform [1]. With a 1.46M lb U3O8 inventory valued at $144M at market prices and multiple ISR projects advancing, UEC is positioned to scale production as regulatory approvals materialize.</w:t>
      </w:r>
    </w:p>
    <w:p>
      <w:pPr>
        <w:spacing w:after="120"/>
      </w:pPr>
      <w:r>
        <w:rPr>
          <w:rFonts w:ascii="Calibri" w:hAnsi="Calibri"/>
          <w:b w:val="0"/>
          <w:color w:val="3A4A28"/>
          <w:sz w:val="20"/>
        </w:rPr>
        <w:t>The bear case rests on execution and valuation: UEC produced only 45,743 lbs in Q2 FY2026 with $20.2M revenue against a $6.4B market cap, creating a forward P/E of 348x that prices in flawless execution [1][4]. Regulatory delays at Burke Hollow and header houses have already slowed the ramp-up, and NRC permitting backlogs could extend timelines further. The uranium spot price has already appreciated significantly, and any demand disappointment from nuclear buildout delays or AI spending pullbacks could sharply compress UEC's speculative premium.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Burke Hollow ISR mine construction completion and regulatory approval expected to accelerate production ramp-up in H2 2026 [1]</w:t>
      </w:r>
    </w:p>
    <w:p>
      <w:pPr>
        <w:spacing w:before="40" w:after="40"/>
        <w:ind w:left="283"/>
      </w:pPr>
      <w:r>
        <w:rPr>
          <w:rFonts w:ascii="Calibri" w:hAnsi="Calibri"/>
          <w:b/>
          <w:color w:val="4A6B25"/>
          <w:sz w:val="20"/>
        </w:rPr>
        <w:t xml:space="preserve">2. </w:t>
      </w:r>
      <w:r>
        <w:rPr>
          <w:rFonts w:ascii="Calibri" w:hAnsi="Calibri"/>
          <w:b w:val="0"/>
          <w:color w:val="3A4A28"/>
          <w:sz w:val="20"/>
        </w:rPr>
        <w:t>UR&amp;C feasibility determination for a U.S. uranium refining and conversion facility, potentially making UEC the only domestic supplier with end-to-end capabilities [1]</w:t>
      </w:r>
    </w:p>
    <w:p>
      <w:pPr>
        <w:spacing w:before="40" w:after="40"/>
        <w:ind w:left="283"/>
      </w:pPr>
      <w:r>
        <w:rPr>
          <w:rFonts w:ascii="Calibri" w:hAnsi="Calibri"/>
          <w:b/>
          <w:color w:val="4A6B25"/>
          <w:sz w:val="20"/>
        </w:rPr>
        <w:t xml:space="preserve">3. </w:t>
      </w:r>
      <w:r>
        <w:rPr>
          <w:rFonts w:ascii="Calibri" w:hAnsi="Calibri"/>
          <w:b w:val="0"/>
          <w:color w:val="3A4A28"/>
          <w:sz w:val="20"/>
        </w:rPr>
        <w:t>Roughrider pre-feasibility study (Saskatchewan) core drilling over 30% complete, with results expected to unlock conventional mining upside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Regulatory permitting delays from NRC backlogs could extend production ramp-up timelines beyond management expectations, compressing the premium valuation [1]</w:t>
      </w:r>
    </w:p>
    <w:p>
      <w:pPr>
        <w:spacing w:before="40" w:after="40"/>
        <w:ind w:left="283"/>
      </w:pPr>
      <w:r>
        <w:rPr>
          <w:rFonts w:ascii="Calibri" w:hAnsi="Calibri"/>
          <w:b/>
          <w:color w:val="4A6B25"/>
          <w:sz w:val="20"/>
        </w:rPr>
        <w:t xml:space="preserve">2. </w:t>
      </w:r>
      <w:r>
        <w:rPr>
          <w:rFonts w:ascii="Calibri" w:hAnsi="Calibri"/>
          <w:b w:val="0"/>
          <w:color w:val="3A4A28"/>
          <w:sz w:val="20"/>
        </w:rPr>
        <w:t>Extreme valuation risk with forward P/E of 348x — any production shortfall or uranium price decline could trigger significant multiple compression [4]</w:t>
      </w:r>
    </w:p>
    <w:p>
      <w:pPr>
        <w:spacing w:before="40" w:after="40"/>
        <w:ind w:left="283"/>
      </w:pPr>
      <w:r>
        <w:rPr>
          <w:rFonts w:ascii="Calibri" w:hAnsi="Calibri"/>
          <w:b/>
          <w:color w:val="4A6B25"/>
          <w:sz w:val="20"/>
        </w:rPr>
        <w:t xml:space="preserve">3. </w:t>
      </w:r>
      <w:r>
        <w:rPr>
          <w:rFonts w:ascii="Calibri" w:hAnsi="Calibri"/>
          <w:b w:val="0"/>
          <w:color w:val="3A4A28"/>
          <w:sz w:val="20"/>
        </w:rPr>
        <w:t>HALEU fuel supply chain remains a single point of failure for the broader nuclear industry, and UEC's UR&amp;C ambitions are pre-feasibility with no guaranteed timeline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Uranium mining is a physical extraction business that AI cannot displace, and the demand side is strengthened by AI — tech giants like Google and Microsoft are investing in nuclear energy to power AI data centers, making uranium a direct beneficiary of AI growth [2]. UEC's CEO explicitly frames uranium as essential fuel for the 'Age of AI,' positioning the company at the intersection of two megatrends [2]. AI could enhance ISR operations through predictive modeling of wellfield performance and automated monitoring, but this represents incremental optimization rather than disruption.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Uranium Energy Corp Q2 Fiscal 2026 Earnings Release and Call, March 2026</w:t>
      </w:r>
    </w:p>
    <w:p>
      <w:pPr>
        <w:spacing w:before="20" w:after="20"/>
        <w:ind w:left="170"/>
      </w:pPr>
      <w:r>
        <w:rPr>
          <w:rFonts w:ascii="Calibri" w:hAnsi="Calibri"/>
          <w:b/>
          <w:color w:val="4A6B25"/>
          <w:sz w:val="15"/>
        </w:rPr>
        <w:t xml:space="preserve">2. </w:t>
      </w:r>
      <w:r>
        <w:rPr>
          <w:rFonts w:ascii="Calibri" w:hAnsi="Calibri"/>
          <w:b w:val="0"/>
          <w:color w:val="3A4A28"/>
          <w:sz w:val="17"/>
        </w:rPr>
        <w:t>Uranium Energy Corp CEO Amir Adnani CNBC appearances and WNA Board appointment, 2025-2026</w:t>
      </w:r>
    </w:p>
    <w:p>
      <w:pPr>
        <w:spacing w:before="20" w:after="20"/>
        <w:ind w:left="170"/>
      </w:pPr>
      <w:r>
        <w:rPr>
          <w:rFonts w:ascii="Calibri" w:hAnsi="Calibri"/>
          <w:b/>
          <w:color w:val="4A6B25"/>
          <w:sz w:val="15"/>
        </w:rPr>
        <w:t xml:space="preserve">3. </w:t>
      </w:r>
      <w:r>
        <w:rPr>
          <w:rFonts w:ascii="Calibri" w:hAnsi="Calibri"/>
          <w:b w:val="0"/>
          <w:color w:val="3A4A28"/>
          <w:sz w:val="17"/>
        </w:rPr>
        <w:t>Uranium Energy Corp Sustainability Report FY2023, January 2024</w:t>
      </w:r>
    </w:p>
    <w:p>
      <w:pPr>
        <w:spacing w:before="20" w:after="20"/>
        <w:ind w:left="170"/>
      </w:pPr>
      <w:r>
        <w:rPr>
          <w:rFonts w:ascii="Calibri" w:hAnsi="Calibri"/>
          <w:b/>
          <w:color w:val="4A6B25"/>
          <w:sz w:val="15"/>
        </w:rPr>
        <w:t xml:space="preserve">4. </w:t>
      </w:r>
      <w:r>
        <w:rPr>
          <w:rFonts w:ascii="Calibri" w:hAnsi="Calibri"/>
          <w:b w:val="0"/>
          <w:color w:val="3A4A28"/>
          <w:sz w:val="17"/>
        </w:rPr>
        <w:t>Yahoo Finance — UEC key statistics,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