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UE</w:t>
      </w:r>
      <w:r>
        <w:rPr>
          <w:rFonts w:ascii="Calibri" w:hAnsi="Calibri"/>
          <w:b/>
          <w:color w:val="1A2010"/>
          <w:sz w:val="40"/>
        </w:rPr>
        <w:t xml:space="preserve">  Urban Edge Properties</w:t>
      </w:r>
    </w:p>
    <w:p>
      <w:pPr>
        <w:spacing w:after="120"/>
      </w:pPr>
      <w:r>
        <w:rPr>
          <w:rFonts w:ascii="Calibri" w:hAnsi="Calibri"/>
          <w:b/>
          <w:color w:val="6E8450"/>
          <w:sz w:val="18"/>
        </w:rPr>
        <w:t>DIVIDEND SLEEVE · 2026-05-06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Retail · NYSE · United States</w:t>
      </w:r>
    </w:p>
    <w:p>
      <w:pPr>
        <w:spacing w:after="80"/>
      </w:pPr>
      <w:r>
        <w:rPr>
          <w:rFonts w:ascii="Calibri" w:hAnsi="Calibri"/>
          <w:b w:val="0"/>
          <w:color w:val="3A4A28"/>
          <w:sz w:val="20"/>
        </w:rPr>
        <w:t>Urban Edge Properties is a NYSE-listed real estate investment trust focused on owning, managing, acquiring, developing, and redeveloping retail real estate in urban communities, primarily in the Washington, D.C. to Boston corridor. The company owns 73 properties totaling 17.2 million square feet of gross leasable area. Incorporated in 2014 as a spin-off from Vornado Realty Trust.</w:t>
      </w:r>
    </w:p>
    <w:p>
      <w:r>
        <w:rPr>
          <w:rFonts w:ascii="Calibri" w:hAnsi="Calibri"/>
          <w:b/>
          <w:color w:val="6E8450"/>
          <w:sz w:val="18"/>
        </w:rPr>
        <w:t>104 Employees · https://www.uedge.com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Urban Edge operates in a fundamentally non-innovative sector — retail REITs compete on location, tenant quality, and capital allocation rather than product innovation. The company's Q1 2026 acquisition of The Village at Bridgewater Commons for $54.3M and $40.5M in development/capital improvements demonstrate active portfolio management, and the 5% YoY revenue growth reflects steady execution [1]. The MRI AI Visionary award for technology-driven business transformation is a positive signal for operational modernization, but the company remains a traditional landlord of strip centers and malls in the Northeast corridor [4]. Innovation score reflects the sector ceiling rather than company-specific deficiency.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Urban Edge was voted one of the best places to work in New Jersey two years running, which is notable for a 104-person organization [4]. However, Glassdoor reviews present a mixed picture, with some employees criticizing the leadership team as 'deceiving and selfish,' suggesting a gap between external awards and internal reality [4]. CEO Jeff Olson has led the company since its 2014 spin-off from Vornado with 89.1% of his $10.1M compensation tied to performance incentives, demonstrating strong pay-for-performance alignment [5]. The mission of serving urban communities with quality retail environments is purposeful but not highly differentiating within the REIT sector.</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Urban Edge's financial profile is solid for a retail REIT, with 22.6% profit margins, 5.4% YoY revenue growth, and a 5.8% 3-year revenue CAGR driven by acquisitions and lease-up activity [2]. The 3.84% dividend yield is attractive, supported by 11 consecutive years of payments and a 6.1% 5-year dividend growth CAGR reflecting management's commitment to returning capital [2]. The 91.8% payout ratio is high but typical for REITs required to distribute 90%+ of taxable income. Debt-to-equity of 126.9% is moderate for a leveraged REIT model, and the recently expanded $800M revolving credit facility provides growth capital [3]. The forward P/E of 42.6x appears expensive but is misleading for REITs where FFO ($1.48-$1.52/share guided) is the better profitability measure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Urban Edge demonstrates moderate infinite game characteristics through its decade-long commitment to redeveloping urban retail properties and steady portfolio improvement since the Vornado spin-off. CEO Olson's 11-year tenure provides strategic continuity. However, the mixed Glassdoor feedback and inherently transactional nature of retail REIT operations — acquiring, leasing, and occasionally selling properties — limit the depth of purpose beyond financial returns.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Urban Edge's stated focus on serving urban communities through quality retail real estate provides a reasonable if unexciting just cause — the company's properties serve essential retail needs (grocery, pharmacy, services) in underserved urban/suburban corridors [6]. The ESG report highlights LED lighting completion at 100% of parking lots and sustainability-linked credit facility pricing, showing incremental environmental commitment [7]. However, the mission does not transcend the commercial imperative.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Two consecutive years as a best place to work in New Jersey is meaningful for a small 104-person organization, suggesting strong team cohesion [4]. However, Glassdoor reviews citing 'deceiving and selfish' leadership create a contradictory signal that warrants monitoring [4]. The small team size inherently facilitates closer working relationships and faster decision-making.</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Urban Edge competes with Kimco Realty, Regency Centers, and Federal Realty in the Northeast retail REIT space, but investor materials and earnings calls do not explicitly acknowledge rivals as sources of competitive inspiration. The company focuses on its own portfolio metrics rather than benchmarking against worthy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Urban Edge has shown strategic flexibility through active portfolio recycling — selling non-core assets and reinvesting in higher-quality properties, redeveloping aging centers, and exploring mixed-use opportunities in its urban/suburban footprint [1]. The company's evolution from a Vornado spin-off portfolio to a curated collection of 73 properties reflects intentional portfolio transformation.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$54.3M acquisition of Bridgewater Commons and $40.5M in development spending in Q1 2026 alone demonstrate willingness to invest aggressively for long-term value creation [1]. Management's decision to raise 2026 FFO guidance to $1.48-$1.52 after just one quarter signals confidence, and the expansion of the revolving credit facility to $800M provides strategic firepower [3]. The dividend has been rebuilt from the COVID cut ($0.60 in 2021 to $0.84 annualized in 2026).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Urban Edge Properties offers a compelling income story for investors seeking Northeast retail REIT exposure, with a 3.84% dividend yield, 5% FFO growth guidance ($1.48-$1.52/share), and a portfolio concentrated in high-barrier-to-entry urban/suburban markets from D.C. to Boston [1][2]. Q1 2026 results demonstrated strong execution with revenue of $132.6M (above estimates), net income tripling to $23.5M, and management raising full-year guidance after just one quarter [1]. The active redevelopment pipeline and strategic acquisitions (Bridgewater Commons at $54.3M) signal continued portfolio improvement, while the $800M revolving credit facility provides capital flexibility [3]. The 6.1% 5-year dividend growth CAGR indicates management's commitment to growing shareholder distributions.</w:t>
      </w:r>
    </w:p>
    <w:p>
      <w:pPr>
        <w:spacing w:after="120"/>
      </w:pPr>
      <w:r>
        <w:rPr>
          <w:rFonts w:ascii="Calibri" w:hAnsi="Calibri"/>
          <w:b w:val="0"/>
          <w:color w:val="3A4A28"/>
          <w:sz w:val="20"/>
        </w:rPr>
        <w:t>The bear case focuses on structural headwinds facing retail real estate — e-commerce penetration continues to grow, and AI-driven logistics optimization could further reduce the value of physical retail locations over time. The 91.8% payout ratio leaves minimal cushion for dividend coverage if occupancy or rents decline, and the dividend was previously cut during COVID (from $0.88 to $0.60), demonstrating vulnerability to economic shocks [2]. Debt-to-equity of 126.9% creates interest rate sensitivity, particularly if rates remain elevated, and the forward P/E of 42.6x (though misleading for REITs) signals that GAAP earnings are thin relative to the stock price. ROE of 8.2% is below the 15% target, reflecting the capital-intensive nature of the REIT model. The small employee count (104) and mixed Glassdoor reviews raise concerns about organizational depth and leadership quality for a $2.8B enterprise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Raised 2026 FFO guidance to $1.48-$1.52/share (5% growth) after strong Q1, with potential for further upside from acquisition activity</w:t>
      </w:r>
    </w:p>
    <w:p>
      <w:pPr>
        <w:spacing w:before="40" w:after="40"/>
        <w:ind w:left="283"/>
      </w:pPr>
      <w:r>
        <w:rPr>
          <w:rFonts w:ascii="Calibri" w:hAnsi="Calibri"/>
          <w:b/>
          <w:color w:val="4A6B25"/>
          <w:sz w:val="20"/>
        </w:rPr>
        <w:t xml:space="preserve">2. </w:t>
      </w:r>
      <w:r>
        <w:rPr>
          <w:rFonts w:ascii="Calibri" w:hAnsi="Calibri"/>
          <w:b w:val="0"/>
          <w:color w:val="3A4A28"/>
          <w:sz w:val="20"/>
        </w:rPr>
        <w:t>Active redevelopment pipeline and $800M credit facility enabling value-creating acquisitions in high-barrier Northeast markets</w:t>
      </w:r>
    </w:p>
    <w:p>
      <w:pPr>
        <w:spacing w:before="40" w:after="40"/>
        <w:ind w:left="283"/>
      </w:pPr>
      <w:r>
        <w:rPr>
          <w:rFonts w:ascii="Calibri" w:hAnsi="Calibri"/>
          <w:b/>
          <w:color w:val="4A6B25"/>
          <w:sz w:val="20"/>
        </w:rPr>
        <w:t xml:space="preserve">3. </w:t>
      </w:r>
      <w:r>
        <w:rPr>
          <w:rFonts w:ascii="Calibri" w:hAnsi="Calibri"/>
          <w:b w:val="0"/>
          <w:color w:val="3A4A28"/>
          <w:sz w:val="20"/>
        </w:rPr>
        <w:t>Continued dividend growth trajectory with 6.1% 5-year CAGR and room to rebuild toward pre-COVID levels ($0.88/share)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E-commerce headwinds and AI-accelerated logistics optimization could structurally reduce demand for physical retail space</w:t>
      </w:r>
    </w:p>
    <w:p>
      <w:pPr>
        <w:spacing w:before="40" w:after="40"/>
        <w:ind w:left="283"/>
      </w:pPr>
      <w:r>
        <w:rPr>
          <w:rFonts w:ascii="Calibri" w:hAnsi="Calibri"/>
          <w:b/>
          <w:color w:val="4A6B25"/>
          <w:sz w:val="20"/>
        </w:rPr>
        <w:t xml:space="preserve">2. </w:t>
      </w:r>
      <w:r>
        <w:rPr>
          <w:rFonts w:ascii="Calibri" w:hAnsi="Calibri"/>
          <w:b w:val="0"/>
          <w:color w:val="3A4A28"/>
          <w:sz w:val="20"/>
        </w:rPr>
        <w:t>91.8% payout ratio leaves minimal dividend coverage buffer, and the dividend was previously cut during COVID from $0.88 to $0.60</w:t>
      </w:r>
    </w:p>
    <w:p>
      <w:pPr>
        <w:spacing w:before="40" w:after="40"/>
        <w:ind w:left="283"/>
      </w:pPr>
      <w:r>
        <w:rPr>
          <w:rFonts w:ascii="Calibri" w:hAnsi="Calibri"/>
          <w:b/>
          <w:color w:val="4A6B25"/>
          <w:sz w:val="20"/>
        </w:rPr>
        <w:t xml:space="preserve">3. </w:t>
      </w:r>
      <w:r>
        <w:rPr>
          <w:rFonts w:ascii="Calibri" w:hAnsi="Calibri"/>
          <w:b w:val="0"/>
          <w:color w:val="3A4A28"/>
          <w:sz w:val="20"/>
        </w:rPr>
        <w:t>Debt-to-equity of 126.9% creates meaningful interest rate sensitivity in a higher-for-longer rate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Retail real estate faces moderate AI disruption risk primarily through AI-accelerated e-commerce, which continues to reduce demand for certain physical retail formats. However, Urban Edge's focus on grocery-anchored and necessity-based retail in dense urban/suburban Northeast corridor markets provides meaningful insulation — AI cannot deliver the foot-traffic-generating convenience of well-located strip centers [1]. The company received the MRI AI Visionary award for its innovative use of technology in property management, suggesting proactive adoption of AI tools for tenant analysis, lease optimization, and operational efficiency [4]. The primary risk is that AI-driven logistics optimization could enable faster delivery from competing locations, reducing the locational premium of UE's properties, though high-barrier-to-entry markets limit new supply competition.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Urban Edge Properties Q1 2026 Earnings Call Transcript, Investing.com, April 2026</w:t>
      </w:r>
    </w:p>
    <w:p>
      <w:pPr>
        <w:spacing w:before="20" w:after="20"/>
        <w:ind w:left="170"/>
      </w:pPr>
      <w:r>
        <w:rPr>
          <w:rFonts w:ascii="Calibri" w:hAnsi="Calibri"/>
          <w:b/>
          <w:color w:val="4A6B25"/>
          <w:sz w:val="15"/>
        </w:rPr>
        <w:t xml:space="preserve">2. </w:t>
      </w:r>
      <w:r>
        <w:rPr>
          <w:rFonts w:ascii="Calibri" w:hAnsi="Calibri"/>
          <w:b w:val="0"/>
          <w:color w:val="3A4A28"/>
          <w:sz w:val="17"/>
        </w:rPr>
        <w:t>Yahoo Finance — UE key statistics, accessed May 2026</w:t>
      </w:r>
    </w:p>
    <w:p>
      <w:pPr>
        <w:spacing w:before="20" w:after="20"/>
        <w:ind w:left="170"/>
      </w:pPr>
      <w:r>
        <w:rPr>
          <w:rFonts w:ascii="Calibri" w:hAnsi="Calibri"/>
          <w:b/>
          <w:color w:val="4A6B25"/>
          <w:sz w:val="15"/>
        </w:rPr>
        <w:t xml:space="preserve">3. </w:t>
      </w:r>
      <w:r>
        <w:rPr>
          <w:rFonts w:ascii="Calibri" w:hAnsi="Calibri"/>
          <w:b w:val="0"/>
          <w:color w:val="3A4A28"/>
          <w:sz w:val="17"/>
        </w:rPr>
        <w:t>Investing.com — Urban Edge earnings on deck: Can new credit facilities fuel 2026 growth, April 2026</w:t>
      </w:r>
    </w:p>
    <w:p>
      <w:pPr>
        <w:spacing w:before="20" w:after="20"/>
        <w:ind w:left="170"/>
      </w:pPr>
      <w:r>
        <w:rPr>
          <w:rFonts w:ascii="Calibri" w:hAnsi="Calibri"/>
          <w:b/>
          <w:color w:val="4A6B25"/>
          <w:sz w:val="15"/>
        </w:rPr>
        <w:t xml:space="preserve">4. </w:t>
      </w:r>
      <w:r>
        <w:rPr>
          <w:rFonts w:ascii="Calibri" w:hAnsi="Calibri"/>
          <w:b w:val="0"/>
          <w:color w:val="3A4A28"/>
          <w:sz w:val="17"/>
        </w:rPr>
        <w:t>Glassdoor — Urban Edge Properties employee reviews and Simply Wall St management analysis, accessed May 2026</w:t>
      </w:r>
    </w:p>
    <w:p>
      <w:pPr>
        <w:spacing w:before="20" w:after="20"/>
        <w:ind w:left="170"/>
      </w:pPr>
      <w:r>
        <w:rPr>
          <w:rFonts w:ascii="Calibri" w:hAnsi="Calibri"/>
          <w:b/>
          <w:color w:val="4A6B25"/>
          <w:sz w:val="15"/>
        </w:rPr>
        <w:t xml:space="preserve">5. </w:t>
      </w:r>
      <w:r>
        <w:rPr>
          <w:rFonts w:ascii="Calibri" w:hAnsi="Calibri"/>
          <w:b w:val="0"/>
          <w:color w:val="3A4A28"/>
          <w:sz w:val="17"/>
        </w:rPr>
        <w:t>Simply Wall St — UE Leadership &amp; Management Team Analysis, accessed May 2026</w:t>
      </w:r>
    </w:p>
    <w:p>
      <w:pPr>
        <w:spacing w:before="20" w:after="20"/>
        <w:ind w:left="170"/>
      </w:pPr>
      <w:r>
        <w:rPr>
          <w:rFonts w:ascii="Calibri" w:hAnsi="Calibri"/>
          <w:b/>
          <w:color w:val="4A6B25"/>
          <w:sz w:val="15"/>
        </w:rPr>
        <w:t xml:space="preserve">6. </w:t>
      </w:r>
      <w:r>
        <w:rPr>
          <w:rFonts w:ascii="Calibri" w:hAnsi="Calibri"/>
          <w:b w:val="0"/>
          <w:color w:val="3A4A28"/>
          <w:sz w:val="17"/>
        </w:rPr>
        <w:t>Urban Edge Properties Corporate Responsibility page, uedge.com, accessed May 2026</w:t>
      </w:r>
    </w:p>
    <w:p>
      <w:pPr>
        <w:spacing w:before="20" w:after="20"/>
        <w:ind w:left="170"/>
      </w:pPr>
      <w:r>
        <w:rPr>
          <w:rFonts w:ascii="Calibri" w:hAnsi="Calibri"/>
          <w:b/>
          <w:color w:val="4A6B25"/>
          <w:sz w:val="15"/>
        </w:rPr>
        <w:t xml:space="preserve">7. </w:t>
      </w:r>
      <w:r>
        <w:rPr>
          <w:rFonts w:ascii="Calibri" w:hAnsi="Calibri"/>
          <w:b w:val="0"/>
          <w:color w:val="3A4A28"/>
          <w:sz w:val="17"/>
        </w:rPr>
        <w:t>Urban Edge Properties 2023 Corporate Responsibility Report</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