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UGP</w:t>
      </w:r>
      <w:r>
        <w:rPr>
          <w:rFonts w:ascii="Calibri" w:hAnsi="Calibri"/>
          <w:b/>
          <w:color w:val="1A2010"/>
          <w:sz w:val="40"/>
        </w:rPr>
        <w:t xml:space="preserve">  Ultrapar Participações S.A.</w:t>
      </w:r>
    </w:p>
    <w:p>
      <w:pPr>
        <w:spacing w:after="120"/>
      </w:pPr>
      <w:r>
        <w:rPr>
          <w:rFonts w:ascii="Calibri" w:hAnsi="Calibri"/>
          <w:b/>
          <w:color w:val="6E8450"/>
          <w:sz w:val="18"/>
        </w:rPr>
        <w:t>DIVIDEND SLEEVE · 2026-04-17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Brazil</w:t>
      </w:r>
    </w:p>
    <w:p>
      <w:pPr>
        <w:spacing w:after="80"/>
      </w:pPr>
      <w:r>
        <w:rPr>
          <w:rFonts w:ascii="Calibri" w:hAnsi="Calibri"/>
          <w:b w:val="0"/>
          <w:color w:val="3A4A28"/>
          <w:sz w:val="20"/>
        </w:rPr>
        <w:t>Ultrapar Participações S.A. operates in Brazil's energy, mobility, and logistics infrastructure sectors through four segments: Ultragaz (LPG distribution), Ipiranga (fuel distribution and service stations), Ultracargo (liquid bulk storage), and Hidrovias (waterway logistics). Founded in 1937, the company distributes fuel, biofuels, lubricants, and LPG, and operates convenience stores under the AmPm brand and loyalty programs under the Km de Vantagens brand.</w:t>
      </w:r>
    </w:p>
    <w:p>
      <w:r>
        <w:rPr>
          <w:rFonts w:ascii="Calibri" w:hAnsi="Calibri"/>
          <w:b/>
          <w:color w:val="6E8450"/>
          <w:sz w:val="18"/>
        </w:rPr>
        <w:t>12,000 Employees · https://www.ultra.com.br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Ultrapar has maintained stable operations across its four segments but has not executed a transformative product launch or business model pivot in the last five years; the Hidrovias waterway logistics segment represents incremental portfolio management rather than innovation [1]. AI Deployment (1/2): The board approved a Corporate Policy update focusing on AI use as part of the 2026-2035 Strategic Plan in December 2025, signaling intent but no shipped AI products or quantified savings yet [2]. Market Share (1/2): Ipiranga is Brazil's second-largest fuel distributor and Ultragaz is the country's leading LPG distributor, holding meaningful market positions but not gaining share aggressively [1]. Pipeline (0/2): No specific next-generation products or services with named timelines have been announced beyond the broad 2026-2035 strategic plan [2]. R&amp;D Intensity (1/1): Ultrapar invests in renewable electricity distribution and biomethane for corporate clients, representing above-average energy transition R&amp;D for Brazilian fuel distributors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Ultrapar's stated purpose centers on providing energy, mobility, and logistics solutions to power Brazil's economy — clear and functional but not distinctive or deeply inspiring beyond its operational footprint [3]. Community Impact (1/2): The company links at least one-third of executive variable compensation to ESG goals and has an ESG 2030 Plan with specific ambitions, but limited evidence of transformative charitable or community programs [3]. Employee Retention (0/2): No publicly available data on employee tenure, voluntary turnover, or mission-driven retention was found [2]. Insider Buying (1/2): Executive compensation includes stock plans linked to tenure, performance, and EVA, creating alignment, but a major institutional investor recently reduced its stake, and net insider buying data is not clear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Ultrapar's financial profile reflects a mature Brazilian conglomerate with moderate leverage and thin margins. D/E of 123.1% is elevated but manageable for the capital-intensive energy distribution sector [4]. ROE of 16.4% clears the 15% target, demonstrating adequate capital efficiency [4]. Revenue growth of 7.2% YoY and a flat 3-year CAGR of -0.3% reflect the cyclical nature of fuel distribution in Brazil with BRL 142.4B in trailing revenue [1]. Forward P/E of 12.3x is attractively valued below the 20x target [4]. Profit margin of just 1.7% is characteristic of fuel distribution but scores poorly on the absolute scale. Dividend yield of 5.2% with 25+ consecutive years of payments is strong, but a 74.5% payout ratio and negative 5-year dividend growth CAGR of -2.7% weigh on the score [4]. Liquidity floor passes comfortably at $16.9M daily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Ultrapar has operated continuously since 1937 in Brazil's energy sector, showing durability but not the transformative infinite-game thinking Sinek looks for. The company optimizes its existing portfolio through disciplined capital allocation but has not demonstrated the kind of cause-driven strategic pivots that characterize true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Ultrapar's purpose centers on powering Brazil's energy and mobility needs — a functional cause but one that is interchangeable with any fuel distributor. The 2026-2035 Strategic Plan suggests long-term thinking, but the cause reads as operational rather than aspirational [2]. Score: 1 point (shallow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continuity under CEO Frederico Curado (since 2017, previously CEO of Embraer for 9 years) and Chairman Jorge Camargo (since 2023) suggests organizational stability [2]. ESG-linked executive compensation and stock-based plans create alignment, but no specific evidence of exceptional trust culture or employee empowerment was found. Score: 1 point (adequate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Ultrapar's management referencing competitors as learning opportunities or framing competition as self-improvement motivation. The company's competitive narrative focuses on market position defense rather than rival-inspired growth [1]. Score: 0 points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Ultrapar has shown incremental flexibility by investing in renewable electricity distribution, biomethane for corporate clients, and compressed natural gas — adapting its energy portfolio to the transition without abandoning its core [1]. However, these moves are evolutionary rather than transformative. Score: 1 point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Ultrapar's investment in low-carbon logistics solutions and the strategic decision to enter renewable energy distribution while maintaining its fossil fuel base shows some willingness to invest against the current [3]. However, these investments are small relative to the core business and don't represent significant financial sacrifice.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Ultrapar offers a compelling valuation with a trailing P/E of 12.8x and forward P/E of 12.3x, combined with a 5.2% dividend yield supported by 25+ consecutive years of payments [4]. As Brazil's second-largest fuel distributor (Ipiranga) and leading LPG distributor (Ultragaz), the company holds entrenched market positions in essential energy infrastructure. Q4 2025 EPS of $0.12 beat consensus estimates of $0.097, demonstrating operational execution [1]. The 2026-2035 Strategic Plan approved in December 2025 provides long-term direction, and HSBC recently raised its price target to $6.00 despite downgrading to Hold [1]. The stock has doubled from its 52-week low of $2.80, yet at 2.1x book value remains reasonably valued for its market position.</w:t>
      </w:r>
    </w:p>
    <w:p>
      <w:pPr>
        <w:spacing w:after="120"/>
      </w:pPr>
      <w:r>
        <w:rPr>
          <w:rFonts w:ascii="Calibri" w:hAnsi="Calibri"/>
          <w:b w:val="0"/>
          <w:color w:val="3A4A28"/>
          <w:sz w:val="20"/>
        </w:rPr>
        <w:t>The bear case centers on thin margins, currency risk, and stagnant growth. Profit margin of just 1.7% leaves virtually no buffer for operational disruption or input cost spikes [4]. Revenue has been essentially flat over three years ($142.4B vs $143.6B in 2022) with EPS declining 59.5% YoY, indicating the business is not structurally growing [4]. The 74.5% payout ratio strains dividend sustainability given negative 5-year dividend growth CAGR of -2.7% [4]. As a Brazilian ADR, UGP carries significant BRL/USD currency risk — the real's depreciation directly erodes dollar-denominated returns. HSBC's downgrade from Buy to Hold signals limited near-term upside after the recent rally [1]. The energy transition poses long-term structural risk to Ipiranga's fuel distribution business, though LPG and logistics provide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2026-2035 Strategic Plan with AI integration and energy transition investments, potentially unlocking new growth vectors beyond traditional fuel distribution [2]</w:t>
      </w:r>
    </w:p>
    <w:p>
      <w:pPr>
        <w:spacing w:before="40" w:after="40"/>
        <w:ind w:left="283"/>
      </w:pPr>
      <w:r>
        <w:rPr>
          <w:rFonts w:ascii="Calibri" w:hAnsi="Calibri"/>
          <w:b/>
          <w:color w:val="4A6B25"/>
          <w:sz w:val="20"/>
        </w:rPr>
        <w:t xml:space="preserve">2. </w:t>
      </w:r>
      <w:r>
        <w:rPr>
          <w:rFonts w:ascii="Calibri" w:hAnsi="Calibri"/>
          <w:b w:val="0"/>
          <w:color w:val="3A4A28"/>
          <w:sz w:val="20"/>
        </w:rPr>
        <w:t>Brazilian economic recovery driving fuel demand volumes through Ipiranga's 7,000+ station network and Ultragaz's LPG distribution [1]</w:t>
      </w:r>
    </w:p>
    <w:p>
      <w:pPr>
        <w:spacing w:before="40" w:after="40"/>
        <w:ind w:left="283"/>
      </w:pPr>
      <w:r>
        <w:rPr>
          <w:rFonts w:ascii="Calibri" w:hAnsi="Calibri"/>
          <w:b/>
          <w:color w:val="4A6B25"/>
          <w:sz w:val="20"/>
        </w:rPr>
        <w:t xml:space="preserve">3. </w:t>
      </w:r>
      <w:r>
        <w:rPr>
          <w:rFonts w:ascii="Calibri" w:hAnsi="Calibri"/>
          <w:b w:val="0"/>
          <w:color w:val="3A4A28"/>
          <w:sz w:val="20"/>
        </w:rPr>
        <w:t>Potential margin improvement through digital loyalty programs (KMV) and AmPm convenience store expansion across the Ipiranga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profit margin compression below 2% in fuel distribution with rising input costs and BRL depreciation eroding dollar-denominated returns for ADR holders [4]</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concerns with a 74.5% payout ratio and negative 5-year dividend growth trajectory despite 25+ years of consecutive payments [4]</w:t>
      </w:r>
    </w:p>
    <w:p>
      <w:pPr>
        <w:spacing w:before="40" w:after="40"/>
        <w:ind w:left="283"/>
      </w:pPr>
      <w:r>
        <w:rPr>
          <w:rFonts w:ascii="Calibri" w:hAnsi="Calibri"/>
          <w:b/>
          <w:color w:val="4A6B25"/>
          <w:sz w:val="20"/>
        </w:rPr>
        <w:t xml:space="preserve">3. </w:t>
      </w:r>
      <w:r>
        <w:rPr>
          <w:rFonts w:ascii="Calibri" w:hAnsi="Calibri"/>
          <w:b w:val="0"/>
          <w:color w:val="3A4A28"/>
          <w:sz w:val="20"/>
        </w:rPr>
        <w:t>Structural energy transition risk to Ipiranga's fossil fuel distribution business as Brazil accelerates ethanol and electric vehicle adoption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Ultrapar's core businesses — fuel distribution through 7,000+ Ipiranga service stations, LPG delivery via Ultragaz, and liquid bulk storage through Ultracargo — are physical-world infrastructure operations that AI structurally cannot displace [1]. Fuel must be physically transported, stored, and distributed regardless of AI advancement. AI may actually increase energy demand as data centers proliferate in Brazil. The logistics and waterway transport operations are similarly immune to AI substitution [1]. AI Opportunity (0/1): No AI-related revenue streams exist; the December 2025 AI policy adoption is exploratory and generates no current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UGP key statistics, earnings history, and analyst estimates,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Insider Monkey — Ultrapar AI corporate policy adoption and leadership profile, December 2025</w:t>
      </w:r>
    </w:p>
    <w:p>
      <w:pPr>
        <w:spacing w:before="20" w:after="20"/>
        <w:ind w:left="170"/>
      </w:pPr>
      <w:r>
        <w:rPr>
          <w:rFonts w:ascii="Calibri" w:hAnsi="Calibri"/>
          <w:b/>
          <w:color w:val="4A6B25"/>
          <w:sz w:val="15"/>
        </w:rPr>
        <w:t xml:space="preserve">3. </w:t>
      </w:r>
      <w:r>
        <w:rPr>
          <w:rFonts w:ascii="Calibri" w:hAnsi="Calibri"/>
          <w:b w:val="0"/>
          <w:color w:val="3A4A28"/>
          <w:sz w:val="17"/>
        </w:rPr>
        <w:t>Sustainalytics / CSRHub — Ultrapar ESG risk rating and sustainability report analysis, 2024</w:t>
      </w:r>
    </w:p>
    <w:p>
      <w:pPr>
        <w:spacing w:before="20" w:after="20"/>
        <w:ind w:left="170"/>
      </w:pPr>
      <w:r>
        <w:rPr>
          <w:rFonts w:ascii="Calibri" w:hAnsi="Calibri"/>
          <w:b/>
          <w:color w:val="4A6B25"/>
          <w:sz w:val="15"/>
        </w:rPr>
        <w:t xml:space="preserve">4. </w:t>
      </w:r>
      <w:r>
        <w:rPr>
          <w:rFonts w:ascii="Calibri" w:hAnsi="Calibri"/>
          <w:b w:val="0"/>
          <w:color w:val="3A4A28"/>
          <w:sz w:val="17"/>
        </w:rPr>
        <w:t>yfinance data for UGP (Ultrapar Participações),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