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UL</w:t>
      </w:r>
      <w:r>
        <w:rPr>
          <w:rFonts w:ascii="Calibri" w:hAnsi="Calibri"/>
          <w:b/>
          <w:color w:val="1A2010"/>
          <w:sz w:val="40"/>
        </w:rPr>
        <w:t xml:space="preserve">  Unilever PLC</w:t>
      </w:r>
    </w:p>
    <w:p>
      <w:pPr>
        <w:spacing w:after="120"/>
      </w:pPr>
      <w:r>
        <w:rPr>
          <w:rFonts w:ascii="Calibri" w:hAnsi="Calibri"/>
          <w:b/>
          <w:color w:val="6E8450"/>
          <w:sz w:val="18"/>
        </w:rPr>
        <w:t>DIVIDEND SLEEVE · 2026-04-07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Kingdom</w:t>
      </w:r>
    </w:p>
    <w:p>
      <w:pPr>
        <w:spacing w:after="80"/>
      </w:pPr>
      <w:r>
        <w:rPr>
          <w:rFonts w:ascii="Calibri" w:hAnsi="Calibri"/>
          <w:b w:val="0"/>
          <w:color w:val="3A4A28"/>
          <w:sz w:val="20"/>
        </w:rPr>
        <w:t>Unilever PLC is a global consumer goods company operating across Beauty &amp; Wellbeing, Personal Care, Home Care, and Nutrition segments. The company owns over 400 brands including Dove, Vaseline, Hellmann's, Knorr, Domestos, and Comfort. Following the Ice Cream demerger, Unilever focuses on its 'Power Brands' strategy with €50.5B in annual revenue across 190+ countries.</w:t>
      </w:r>
    </w:p>
    <w:p>
      <w:r>
        <w:rPr>
          <w:rFonts w:ascii="Calibri" w:hAnsi="Calibri"/>
          <w:b/>
          <w:color w:val="6E8450"/>
          <w:sz w:val="18"/>
        </w:rPr>
        <w:t>93,731 Employees · https://www.unilever.com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Unilever executed the Ice Cream demerger to sharpen focus on higher-growth categories and launched the 'Power Brands' strategy — these brands now represent 78% of turnover and delivered 4.3% underlying sales growth in 2025 [1]. Beauty &amp; Wellbeing achieved 4.3% USG led by double-digit growth in Dove and Vaseline. However, reported revenue declined 3.8% due to FX headwinds, and the portfolio restructuring is defensive rather than transformative. AI Deployment (1/2): Unilever has completed 500+ AI projects over the past decade and launched the AI 100+ Accelerator in April 2025 to partner with innovators across the supply chain [2]. AI-powered content creation is driving marketing transformation, but no specific AI-driven revenue or quantified cost savings have been disclosed. Market Share (1/2): Unilever is among the world's largest consumer goods companies competing with P&amp;G, Nestle, and Reckitt, with strong positions in emerging markets. Power Brands are growing ahead of average, but the company is not gaining transformative share in any category [1]. Pipeline (1/2): 2026 guidance targets 4-6% underlying sales growth with premiumization strategy and emerging market expansion, providing moderate visibility though at the lower end of the growth range given slower market conditions [1]. R&amp;D Intensity (0/1): No evidence of above-average R&amp;D spending relative to consumer goods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Unilever's purpose — 'Making sustainable living commonplace' — is specific, thoughtful, and has genuinely guided strategic decisions for over a decade, including the Sustainable Living Plan and brand purpose initiatives [3]. It differentiates Unilever from peers and connects the company's work to a larger societal goal. However, the recent ESG rollback under CEO Schumacher (scaled back plastic reduction targets, eliminated diversity spending pledges) suggests the purpose is being deprioritized when it conflicts with financial performance, preventing a perfect score [3]. Community Impact (1/2): Unilever operates extensive sustainability programs across 190+ countries with carbon emission reduction targets (100% scope 1-2 by 2030) and supply chain sustainability initiatives, though recent rollbacks reduced plastic reduction targets from 50% to 30% and eliminated diversity spending commitments [3]. Employee Retention (1/2): Unilever employs 93,731 people globally with an empowered leadership culture featuring enterprise-level agile coaches, and is considered a top employer in consumer goods, though no specific tenure or turnover data was identified [2]. Insider Buying (1/2): New CEO Fernando Fernandez's appointment reflects board confidence in his 'decisive' leadership style, but no significant open-market insider purchases were identified — the leadership transition from Jope to Schumacher to Fernandez in rapid succession is notable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Unilever demonstrates strong profitability on a large revenue base but faces growth challenges. Underlying operating margin expanded 60bps to 20% with gross margin of 46.9% — both strong for consumer goods [1]. ROE of 31% is excellent, reflecting capital efficiency, and forward P/E of 14.3x is attractive for a defensive compounder. However, reported revenue declined 3.8% in 2025 (FX headwinds offset 3.5% organic growth), and the 3yr revenue CAGR is approximately -5.6% in USD terms as reported revenue fell from €60.1B in 2022 to €50.5B in 2025 due to disposals and FX [4]. D/E of 161% is elevated with $28.3B debt against $5.0B cash, though manageable for a consumer staples company with $6.3B free cash flow [4]. Dividend payout ratio of 78.6% is high but sustainable given FCF coverage. The 4% dividend yield with 40+ years of consecutive payments provides income floor but growth has been minimal [4]. Liquidity floor easily cleared: 4.3M avg volume × $56.03 = $241M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Unilever has historically been a model of infinite game thinking under Paul Polman's 'Sustainable Living Plan' — arguably the most ambitious purpose-driven strategy in consumer goods. However, the subsequent CEO transitions (Jope, Schumacher, now Fernandez in rapid succession) and the ESG rollback signal a drift toward finite game optimization. Fernandez's 'decisive' leadership style and focus on brands 'earning the right to be there' sounds more like finite-game efficiency than infinite-game purpose. The company retains strong institutional DNA but is at a crossroads.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Unilever's 'Making sustainable living commonplace' was a genuine Just Cause validated by over a decade of strategic decisions under Paul Polman — it shaped product development, supply chain management, and brand strategy in ways that differentiated Unilever from P&amp;G and Nestle [3]. However, the recent ESG rollback (cutting plastic targets, eliminating diversity spending pledges) under CEO Schumacher, followed by another CEO change to Fernandez, suggests the cause is being diluted when financial performance demands it. A Just Cause that bends under pressure is partially lived, not fully embedded.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Unilever's empowered leadership culture with enterprise-level agile coaches and a 'teams decide how to carry it out' philosophy suggests meaningful trust infrastructure among its 93,731 employees [2]. The company is consistently rated as a top employer in consumer goods. However, three CEO transitions in four years (Jope, Schumacher, Fernandez) creates leadership uncertainty that undermines organizational trust, and Fernandez is described as 'abrasive' — a red flag for trust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Unilever has long used P&amp;G as a worthy rival — studying P&amp;G's brand management discipline and operational efficiency to improve its own performance. The competitive framing in analyst calls focuses on Unilever's own improvement trajectory ('competitive growth') rather than attacking rivals [1]. The Power Brands strategy implicitly acknowledges that P&amp;G's focus on fewer, bigger brands was effective.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Ice Cream demerger demonstrates willingness to divest a major business segment to focus on higher-growth categories — a meaningful strategic pivot [1]. Unilever has also shifted from a food-heavy portfolio to Beauty &amp; Wellbeing leadership over two decades. However, the core business model (manufacturing and marketing branded consumer goods) has not fundamentally changed. The flexibility is incremental portfolio management,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Paul Polman's original decision to eliminate quarterly earnings guidance and pursue the Sustainable Living Plan was genuinely courageous — sacrificing short-term market approval for long-term purpose [3]. However, the subsequent rollback of ESG commitments and three CEO changes suggest the organization lacked the courage to sustain that approach when activist investors (Peltz) demanded higher returns. Fernandez's mandate appears to be financial performance acceleration, not purpose-led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Unilever is a global consumer goods leader with €50.5B revenue, 20% operating margin, and 46.9% gross margin — both expanding in 2025 through disciplined cost management and the Power Brands strategy [1]. The company generates €6.3B in free cash flow supporting a 4% dividend yield with 40+ years of consecutive payments, and trades at an attractive 14.3x forward P/E for a defensive compounder [4]. The Power Brands (78% of turnover) delivered 4.3% underlying sales growth with Beauty &amp; Wellbeing leading at double-digit growth in Dove and Vaseline [1]. The Ice Cream demerger sharpened the portfolio, and 500+ AI projects demonstrate operational modernization. New CEO Fernandez's 'decisive' approach and 2026 guidance of 4-6% USG with margin improvement suggests accelerating momentum [1][2].</w:t>
      </w:r>
    </w:p>
    <w:p>
      <w:pPr>
        <w:spacing w:after="120"/>
      </w:pPr>
      <w:r>
        <w:rPr>
          <w:rFonts w:ascii="Calibri" w:hAnsi="Calibri"/>
          <w:b w:val="0"/>
          <w:color w:val="3A4A28"/>
          <w:sz w:val="20"/>
        </w:rPr>
        <w:t>The bear case centers on stagnant top-line growth, leadership instability, and ESG credibility erosion. Reported revenue declined 3.8% in 2025 and the 3yr revenue CAGR is approximately -5.6% in USD terms due to disposals, FX headwinds, and the Ice Cream demerger [1]. Three CEO transitions in four years (Jope, Schumacher, Fernandez) create strategic whiplash — each leader has shifted priorities, most recently rolling back ESG commitments that were central to Unilever's brand identity [3]. D/E of 161% with $28.3B debt is elevated, and the 78.6% payout ratio leaves limited flexibility for debt reduction [4]. The stock has declined 25% from its 52-week high of $74.98 to $56.03. 2026 growth guidance is 'at the bottom end' of the 4-6% range due to slower market conditions, and emerging market currency volatility continues to weigh on USD-reported results. P&amp;G's consistent execution makes Unilever look like the weaker competitor in global consumer goods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Power Brands strategy driving premiumization and volume growth, with 78% of turnover growing 4.3% organically in 2025 and Beauty &amp; Wellbeing leading with double-digit growth in key brands [1]</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continuing from 20% in 2025 with 2026 guidance for 'modest improvement,' supported by gross margin gains and AI-driven marketing efficiency [1][2]</w:t>
      </w:r>
    </w:p>
    <w:p>
      <w:pPr>
        <w:spacing w:before="40" w:after="40"/>
        <w:ind w:left="283"/>
      </w:pPr>
      <w:r>
        <w:rPr>
          <w:rFonts w:ascii="Calibri" w:hAnsi="Calibri"/>
          <w:b/>
          <w:color w:val="4A6B25"/>
          <w:sz w:val="20"/>
        </w:rPr>
        <w:t xml:space="preserve">3. </w:t>
      </w:r>
      <w:r>
        <w:rPr>
          <w:rFonts w:ascii="Calibri" w:hAnsi="Calibri"/>
          <w:b w:val="0"/>
          <w:color w:val="3A4A28"/>
          <w:sz w:val="20"/>
        </w:rPr>
        <w:t>CEO Fernandez's 'decisive' leadership potentially accelerating portfolio optimization and operational execution, with U.S. becoming a growth leader under new market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instability — three CEO transitions in four years creates strategic uncertainty, and Fernandez's 'abrasive' style may disrupt the empowered culture that has been Unilever's organizational strength [2]</w:t>
      </w:r>
    </w:p>
    <w:p>
      <w:pPr>
        <w:spacing w:before="40" w:after="40"/>
        <w:ind w:left="283"/>
      </w:pPr>
      <w:r>
        <w:rPr>
          <w:rFonts w:ascii="Calibri" w:hAnsi="Calibri"/>
          <w:b/>
          <w:color w:val="4A6B25"/>
          <w:sz w:val="20"/>
        </w:rPr>
        <w:t xml:space="preserve">2. </w:t>
      </w:r>
      <w:r>
        <w:rPr>
          <w:rFonts w:ascii="Calibri" w:hAnsi="Calibri"/>
          <w:b w:val="0"/>
          <w:color w:val="3A4A28"/>
          <w:sz w:val="20"/>
        </w:rPr>
        <w:t>Currency headwinds masking organic growth — 2025 reported revenue declined 3.8% despite 3.5% underlying sales growth, and emerging market FX volatility could continue compressing USD-reported results [1]</w:t>
      </w:r>
    </w:p>
    <w:p>
      <w:pPr>
        <w:spacing w:before="40" w:after="40"/>
        <w:ind w:left="283"/>
      </w:pPr>
      <w:r>
        <w:rPr>
          <w:rFonts w:ascii="Calibri" w:hAnsi="Calibri"/>
          <w:b/>
          <w:color w:val="4A6B25"/>
          <w:sz w:val="20"/>
        </w:rPr>
        <w:t xml:space="preserve">3. </w:t>
      </w:r>
      <w:r>
        <w:rPr>
          <w:rFonts w:ascii="Calibri" w:hAnsi="Calibri"/>
          <w:b w:val="0"/>
          <w:color w:val="3A4A28"/>
          <w:sz w:val="20"/>
        </w:rPr>
        <w:t>ESG credibility erosion after rolling back plastic reduction, diversity spending, and food waste commitments, potentially alienating purpose-driven consumers and investors who valued Unilever's sustainability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Unilever's core business — manufacturing and distributing physical consumer goods (soap, food, cleaning products) — is structurally protected from AI substitution. AI cannot replace Dove soap or Hellmann's mayonnaise [1]. However, AI disrupts the marketing and distribution layers that Unilever relies on — AI-generated content reduces the value of traditional brand advertising, AI-powered e-commerce changes distribution dynamics, and AI tools may enable private label competitors to close the brand premium gap. The company's 500+ AI projects and 'digital-first organization' positioning show awareness of both the opportunity and threat [2]. AI Opportunity (1/1): Unilever generates tangible value from AI through 500+ deployed projects, AI-powered content creation driving marketing ROI, and the AI 100+ Accelerator program partnering with external innovators to improve supply chain efficiency [2]. While not direct AI revenue, these applications create measurable operational benefits.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Unilever Full-Year 2025 Earnings Release — €50.5B revenue, 3.5% USG, 20% operating margin, 2026 guidance of 4-6% USG, February 2026</w:t>
      </w:r>
    </w:p>
    <w:p>
      <w:pPr>
        <w:spacing w:before="20" w:after="20"/>
        <w:ind w:left="170"/>
      </w:pPr>
      <w:r>
        <w:rPr>
          <w:rFonts w:ascii="Calibri" w:hAnsi="Calibri"/>
          <w:b/>
          <w:color w:val="4A6B25"/>
          <w:sz w:val="15"/>
        </w:rPr>
        <w:t xml:space="preserve">2. </w:t>
      </w:r>
      <w:r>
        <w:rPr>
          <w:rFonts w:ascii="Calibri" w:hAnsi="Calibri"/>
          <w:b w:val="0"/>
          <w:color w:val="3A4A28"/>
          <w:sz w:val="17"/>
        </w:rPr>
        <w:t>Unilever corporate website / Fortune / BankInfoSecurity — CEO Fernandez leadership profile, 500+ AI projects, AI 100+ Accelerator, digital-first strategy, 2025-2026</w:t>
      </w:r>
    </w:p>
    <w:p>
      <w:pPr>
        <w:spacing w:before="20" w:after="20"/>
        <w:ind w:left="170"/>
      </w:pPr>
      <w:r>
        <w:rPr>
          <w:rFonts w:ascii="Calibri" w:hAnsi="Calibri"/>
          <w:b/>
          <w:color w:val="4A6B25"/>
          <w:sz w:val="15"/>
        </w:rPr>
        <w:t xml:space="preserve">3. </w:t>
      </w:r>
      <w:r>
        <w:rPr>
          <w:rFonts w:ascii="Calibri" w:hAnsi="Calibri"/>
          <w:b w:val="0"/>
          <w:color w:val="3A4A28"/>
          <w:sz w:val="17"/>
        </w:rPr>
        <w:t>Sustainability Magazine / ESG Dive / Food Ingredients First — Unilever ESG rollback, plastic target reduction, diversity pledge elimination,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UL (Unilever PLC),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