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UMAC</w:t>
      </w:r>
      <w:r>
        <w:rPr>
          <w:rFonts w:ascii="Calibri" w:hAnsi="Calibri"/>
          <w:b/>
          <w:color w:val="1A2010"/>
          <w:sz w:val="40"/>
        </w:rPr>
        <w:t xml:space="preserve">  Unusual Machines, Inc.</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Unusual Machines manufactures and sells U.S.-made drone components and drones across a diversified brand portfolio including Fat Shark (FPV goggles leader) and Rotor Riot (e-commerce). The company produces flight controllers, electronic speed controllers, video systems, motors, and FPV headsets, serving consumer, enterprise, and defense markets with NDAA-compliant products.</w:t>
      </w:r>
    </w:p>
    <w:p>
      <w:r>
        <w:rPr>
          <w:rFonts w:ascii="Calibri" w:hAnsi="Calibri"/>
          <w:b/>
          <w:color w:val="6E8450"/>
          <w:sz w:val="18"/>
        </w:rPr>
        <w:t>141 Employees · https://www.unusualmachines.com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Revenue doubled to $11.2M in 2025 from $5.57M, with enterprise sales growing from 31% to 81% of revenue by Q4 [1]. The Fat Shark acquisition and pivot from consumer FPV to enterprise/defense opened significant new revenue streams. Q4 revenue of $4.9M beat expectations by 36% [1]. AI Deployment (0/2): No AI-powered products shipping; Lantronix collaboration for edge AI compute in autonomous drone components is exploratory with no shipping products or quantified results [2]. Market Share (1/2): UMAC is a meaningful NDAA-compliant drone component supplier — more than half of Drone Dominance Gauntlet 1 winners are customers, positioning for the $1B Gauntlet 2 initiative [1][2]. However, market share remains small in the $5B domestic drone market. Pipeline (2/2): Specific next-gen products with timelines — motor production scaling to 100K units/month by Q4 2026 ($60M annual potential), $20M order pipeline for H1 2026, new headset/battery/frame product lines [1]. R&amp;D Intensity (1/1): HP Multi Jet Fusion 3D printing adoption for drone production and Lantronix edge AI collaboration demonstrate above-average R&amp;D effort for a $590M company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'Building the Future of U.S.-Made Drones' is specific and distinctive — it connects UMAC's commercial activity to national security and supply chain independence, differentiating from generic tech company missions [2]. However, the mission is recent (company renamed in 2022) and untested through crisis. Community Impact (0/2): No evidence of charitable programs, foundation, or community investment beyond core business operations [3]. Employee Retention (0/2): Only 141 employees with no Glassdoor data, no retention metrics, and no cultural information available [4]. Insider Buying (1/2): Management equity grants (Drew Camden, Stacy Wright promotions) align incentives, but the 320%+ share count dilution through stock-based compensation cuts both ways — alignment for insiders, dilution for shareholders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UMAC has a fortress-like balance sheet with $142.5M cash against $2.6M debt (D/E of 1.5%) and $150M+ total liquidity, providing years of runway [1][4]. Revenue growth of 144% YoY is exceptional. However, the company is deeply unprofitable with -171% profit margin, -20.2% ROE, and -$21.2M operating cash flow on just $11.2M revenue [4]. Forward P/E of 64.9x exceeds the scoring floor of 60x. The strong balance sheet (D/E score) and revenue growth are offset by zero scores on profitability metrics, yielding a mechanically low infrastructure score despite ample cash. Liquidity floor easily cleared at $54M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UMAC shows mixed infinite-game characteristics. The mission to onshore U.S. drone manufacturing has genuine purpose beyond profit, and the pivot from consumer FPV to enterprise/defense demonstrates strategic evolution. However, the company is young (incorporated 2019), leadership is untested through crisis, and 320% share dilution suggests financial engineering over patient value creation.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Onshoring U.S. drone manufacturing and reducing reliance on foreign components is a genuine cause that connects UMAC's work to national security [1][2]. CEO Allan Evans articulates this consistently — the FCC's December 2025 restrictions on foreign drones validate the cause externally. However, the cause is recent (company renamed 2022) and has not been tested through market downturns or leadership transitions, preventing a top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Recent promotions of Drew Camden (President) and Stacy Wright (CRO) suggest internal talent development, and the 141-person team has delivered 101% YoY revenue growth, indicating execution discipline [2]. However, no employee sentiment data exists (no Glassdoor reviews), leadership tenure averages under 2 years, and the small team size makes cultural assessment unreliable.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UMAC's competitive language centers on replacing Chinese drone manufacturers (DJI) rather than learning from rivals' strengths [1][2]. The framing is 'win the onshoring war' rather than 'improve through competition.' This finite competitive mindset — defining success as displacing foreign competitors — is understandable given national security context but reflects Sinek's 'playing to win' rather than 'playing to improve.'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UMAC has pivoted from a consumer FPV hobby company (Rotor Riot e-commerce) to an enterprise/defense drone component manufacturer, with enterprise growing from 31% to 81% of revenue in 2025 [1]. This is meaningful adaptation to market opportunity. The Fat Shark acquisition and motor production scaling represent incremental but not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invest heavily in U.S. manufacturing capacity (motor production scaling to 100K/month) while deeply unprofitable (-$19.2M net loss) shows willingness to sacrifice near-term profitability for long-term positioning [1]. The $150M+ cash war chest from equity raises provides runway, though the 320%+ dilution means shareholders are funding this courage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Unusual Machines is a pure-play on U.S. drone onshoring, positioned to benefit from the FCC's December 2025 foreign drone restrictions and the Pentagon's $1B Drone Dominance Gauntlet 2 initiative. Revenue doubled to $11.2M in 2025 with 133% Q/Q growth in Q4, enterprise sales surged from 31% to 81% of revenue, and the company has a $20M order pipeline for H1 2026 [1]. With $150M+ in cash, no debt, and motor production scaling to 100K units/month ($60M annual potential), UMAC has the runway to reach its $30M run-rate target by year-end 2026. Analyst targets of $20-25 imply 60-100% upside from current levels, with Buy ratings from Barry Sine and Austin Bohlig [1].</w:t>
      </w:r>
    </w:p>
    <w:p>
      <w:pPr>
        <w:spacing w:after="120"/>
      </w:pPr>
      <w:r>
        <w:rPr>
          <w:rFonts w:ascii="Calibri" w:hAnsi="Calibri"/>
          <w:b w:val="0"/>
          <w:color w:val="3A4A28"/>
          <w:sz w:val="20"/>
        </w:rPr>
        <w:t>The bear case is severe. UMAC lost $19.2M on $11.2M revenue in 2025 with -171% profit margins, and the path to cash-flow-positive operations by end of 2026 requires both revenue tripling and significant margin expansion simultaneously [1][4]. Share dilution of 320%+ has destroyed per-share value — the $590M market cap sits on a company with $11M in trailing revenue, implying a 53x price-to-sales ratio. Related-party transaction risks, large management equity grants, and governance concerns flagged by analysts could erode shareholder value further [3]. The NDAA/regulation tailwind is real but execution-dependent, and if government procurement timelines slip or competitors (Skydio, Shield AI) capture the market, UMAC's $150M cash pile could burn through without achieving profitability. Forward P/E of 65x on speculative 2028 earnings projections leaves no margin of safety.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Motor production scaling to 100,000 units/month by Q4 2026, potentially generating $60M annually from motors alone and demonstrating manufacturing execution [1]</w:t>
      </w:r>
    </w:p>
    <w:p>
      <w:pPr>
        <w:spacing w:before="40" w:after="40"/>
        <w:ind w:left="283"/>
      </w:pPr>
      <w:r>
        <w:rPr>
          <w:rFonts w:ascii="Calibri" w:hAnsi="Calibri"/>
          <w:b/>
          <w:color w:val="4A6B25"/>
          <w:sz w:val="20"/>
        </w:rPr>
        <w:t xml:space="preserve">2. </w:t>
      </w:r>
      <w:r>
        <w:rPr>
          <w:rFonts w:ascii="Calibri" w:hAnsi="Calibri"/>
          <w:b w:val="0"/>
          <w:color w:val="3A4A28"/>
          <w:sz w:val="20"/>
        </w:rPr>
        <w:t>Pentagon's $1B Drone Dominance Gauntlet 2 initiative — over half of Gauntlet 1 winners are UMAC customers, positioning for significant defense procurement [1]</w:t>
      </w:r>
    </w:p>
    <w:p>
      <w:pPr>
        <w:spacing w:before="40" w:after="40"/>
        <w:ind w:left="283"/>
      </w:pPr>
      <w:r>
        <w:rPr>
          <w:rFonts w:ascii="Calibri" w:hAnsi="Calibri"/>
          <w:b/>
          <w:color w:val="4A6B25"/>
          <w:sz w:val="20"/>
        </w:rPr>
        <w:t xml:space="preserve">3. </w:t>
      </w:r>
      <w:r>
        <w:rPr>
          <w:rFonts w:ascii="Calibri" w:hAnsi="Calibri"/>
          <w:b w:val="0"/>
          <w:color w:val="3A4A28"/>
          <w:sz w:val="20"/>
        </w:rPr>
        <w:t>Path to cash-flow-positive operations targeted by CEO for end of 2026 — achievement would validate the business model and compress valuation multiples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320%+ share dilution and ongoing stock-based compensation destroy per-share economics — the $590M market cap on $11M revenue implies 53x P/S with no profitability [3][4]</w:t>
      </w:r>
    </w:p>
    <w:p>
      <w:pPr>
        <w:spacing w:before="40" w:after="40"/>
        <w:ind w:left="283"/>
      </w:pPr>
      <w:r>
        <w:rPr>
          <w:rFonts w:ascii="Calibri" w:hAnsi="Calibri"/>
          <w:b/>
          <w:color w:val="4A6B25"/>
          <w:sz w:val="20"/>
        </w:rPr>
        <w:t xml:space="preserve">2. </w:t>
      </w:r>
      <w:r>
        <w:rPr>
          <w:rFonts w:ascii="Calibri" w:hAnsi="Calibri"/>
          <w:b w:val="0"/>
          <w:color w:val="3A4A28"/>
          <w:sz w:val="20"/>
        </w:rPr>
        <w:t>Revenue must triple and margins must expand simultaneously to reach profitability by end-2026 — execution risk is extreme for a 141-person company [1]</w:t>
      </w:r>
    </w:p>
    <w:p>
      <w:pPr>
        <w:spacing w:before="40" w:after="40"/>
        <w:ind w:left="283"/>
      </w:pPr>
      <w:r>
        <w:rPr>
          <w:rFonts w:ascii="Calibri" w:hAnsi="Calibri"/>
          <w:b/>
          <w:color w:val="4A6B25"/>
          <w:sz w:val="20"/>
        </w:rPr>
        <w:t xml:space="preserve">3. </w:t>
      </w:r>
      <w:r>
        <w:rPr>
          <w:rFonts w:ascii="Calibri" w:hAnsi="Calibri"/>
          <w:b w:val="0"/>
          <w:color w:val="3A4A28"/>
          <w:sz w:val="20"/>
        </w:rPr>
        <w:t>Government procurement timelines are notoriously slow — if DOD contracts and Gauntlet 2 orders materialize later than expected, the $150M cash war chest could erode before profitability is reached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Drone hardware manufacturing is PROTECTED from AI disruption — physical production of motors, flight controllers, ESCs, and FPV headsets requires manufacturing infrastructure that AI cannot replace [2]. NDAA compliance and U.S.-based manufacturing create regulatory moats that are AI-immune. However, AI-enabled autonomy could shift value from hardware components to software platforms, potentially commoditizing UMAC's physical products over time. The Lantronix edge AI collaboration suggests awareness of this dynamic. AI Opportunity (1/1): The Lantronix partnership for autonomous drone components integrating edge AI with flight control systems represents early-stage AI revenue opportunity, and defense customers increasingly require AI-enabled autonomous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Unusual Machines Q4/FY2025 Earnings — $11.2M revenue, 101% YoY growth, $4.9M Q4 revenue, March 2026</w:t>
      </w:r>
    </w:p>
    <w:p>
      <w:pPr>
        <w:spacing w:before="20" w:after="20"/>
        <w:ind w:left="170"/>
      </w:pPr>
      <w:r>
        <w:rPr>
          <w:rFonts w:ascii="Calibri" w:hAnsi="Calibri"/>
          <w:b/>
          <w:color w:val="4A6B25"/>
          <w:sz w:val="15"/>
        </w:rPr>
        <w:t xml:space="preserve">2. </w:t>
      </w:r>
      <w:r>
        <w:rPr>
          <w:rFonts w:ascii="Calibri" w:hAnsi="Calibri"/>
          <w:b w:val="0"/>
          <w:color w:val="3A4A28"/>
          <w:sz w:val="17"/>
        </w:rPr>
        <w:t>Unusual Machines corporate website, Seeking Alpha, TipRanks — NDAA-compliant strategy, Lantronix AI collaboration, leadership changes</w:t>
      </w:r>
    </w:p>
    <w:p>
      <w:pPr>
        <w:spacing w:before="20" w:after="20"/>
        <w:ind w:left="170"/>
      </w:pPr>
      <w:r>
        <w:rPr>
          <w:rFonts w:ascii="Calibri" w:hAnsi="Calibri"/>
          <w:b/>
          <w:color w:val="4A6B25"/>
          <w:sz w:val="15"/>
        </w:rPr>
        <w:t xml:space="preserve">3. </w:t>
      </w:r>
      <w:r>
        <w:rPr>
          <w:rFonts w:ascii="Calibri" w:hAnsi="Calibri"/>
          <w:b w:val="0"/>
          <w:color w:val="3A4A28"/>
          <w:sz w:val="17"/>
        </w:rPr>
        <w:t>Seeking Alpha, AInvest — governance concerns, 320% dilution, related-party risks, management equity grants</w:t>
      </w:r>
    </w:p>
    <w:p>
      <w:pPr>
        <w:spacing w:before="20" w:after="20"/>
        <w:ind w:left="170"/>
      </w:pPr>
      <w:r>
        <w:rPr>
          <w:rFonts w:ascii="Calibri" w:hAnsi="Calibri"/>
          <w:b/>
          <w:color w:val="4A6B25"/>
          <w:sz w:val="15"/>
        </w:rPr>
        <w:t xml:space="preserve">4. </w:t>
      </w:r>
      <w:r>
        <w:rPr>
          <w:rFonts w:ascii="Calibri" w:hAnsi="Calibri"/>
          <w:b w:val="0"/>
          <w:color w:val="3A4A28"/>
          <w:sz w:val="17"/>
        </w:rPr>
        <w:t>yfinance data for UMAC — $590M market cap, $142.5M cash, -$21.2M OCF,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