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UMC</w:t>
      </w:r>
      <w:r>
        <w:rPr>
          <w:rFonts w:ascii="Calibri" w:hAnsi="Calibri"/>
          <w:b/>
          <w:color w:val="1A2010"/>
          <w:sz w:val="40"/>
        </w:rPr>
        <w:t xml:space="preserve">  United Microelectronics Corporation</w:t>
      </w:r>
    </w:p>
    <w:p>
      <w:pPr>
        <w:spacing w:after="120"/>
      </w:pPr>
      <w:r>
        <w:rPr>
          <w:rFonts w:ascii="Calibri" w:hAnsi="Calibri"/>
          <w:b/>
          <w:color w:val="6E8450"/>
          <w:sz w:val="18"/>
        </w:rPr>
        <w:t>DIVIDEND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Taiwan</w:t>
      </w:r>
    </w:p>
    <w:p>
      <w:pPr>
        <w:spacing w:after="80"/>
      </w:pPr>
      <w:r>
        <w:rPr>
          <w:rFonts w:ascii="Calibri" w:hAnsi="Calibri"/>
          <w:b w:val="0"/>
          <w:color w:val="3A4A28"/>
          <w:sz w:val="20"/>
        </w:rPr>
        <w:t>United Microelectronics Corporation is a global semiconductor wafer foundry operating in Taiwan, China, Japan, and Singapore. The company manufactures and markets integrated circuits for applications in computing, communications, consumer electronics, and automotive. UMC focuses on mature and specialty process nodes from 14nm to 0.5 micron, and is advancing a 12nm cooperation project with Intel.</w:t>
      </w:r>
    </w:p>
    <w:p>
      <w:r>
        <w:rPr>
          <w:rFonts w:ascii="Calibri" w:hAnsi="Calibri"/>
          <w:b/>
          <w:color w:val="6E8450"/>
          <w:sz w:val="18"/>
        </w:rPr>
        <w:t>20,000 Employees · https://www.umc.com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UMC's 22nm revenue hit a record high in Q4 2025, exceeding 13% of quarterly revenue (+31% QoQ), demonstrating traction in its most advanced commercially available node [1]. The 12nm cooperation project with Intel advancing toward 2026 PDK delivery and 2027 tape-outs represents a meaningful technology step-up. UMC is developing advanced chip packaging and silicon photonics capabilities with 10+ customer engagements and 20+ tape-out plans for 2026 [1]. However, UMC deliberately focuses on mature/specialty nodes rather than cutting-edge process technology, ceding the AI-driven leading-edge market to TSMC and Samsung.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UMC's strategic focus on mature and specialty process nodes serves essential applications across automotive, IoT, and networking — markets that underpin modern society's functioning even if less glamorous than AI chips [1]. The company's 20,000 employees in Taiwan and global operations maintain a disciplined operational culture focused on cost efficiency and yield optimization. However, UMC lacks the aspirational mission narrative of competitors like TSMC ('advancing the semiconductor industry'), and its positioning as the mature-node specialist is pragmatic rather than inspiring.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UMC delivers solid but unspectacular financials: 17.6% profit margin, 11.0% ROE, and D/E of only 20.8% — a conservatively managed balance sheet [4]. Forward P/E of 12.0 is reasonable for a semiconductor foundry. The 5.36% dividend yield with 85.1% payout ratio is generous but the high payout limits reinvestment capacity [4]. Revenue growth of 2.4% YoY is modest, and operating income declined 14.8% in 2025 as margin compression from competitive pricing took hold. Capacity utilization in the mid-70% range reflects softness.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UMC demonstrates pragmatic infinite game thinking through its disciplined focus on mature/specialty nodes where it can sustain competitive advantages, rather than chasing the leading-edge capex war it cannot win. The conservative balance sheet and consistent dividends reflect long-term sustainability orientation, though the company's innovation trajectory is incremental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UMC's purpose centers on providing essential semiconductor manufacturing for the everyday electronics that modern society depends on — automotive, IoT, networking, consumer devices [1]. This is a genuine and enduring need, though less visible than cutting-edge AI chip manufacturing. The company's decision to focus on nodes where it can be excellent rather than attempting to compete across all nodes shows purposeful strategic discipline.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UMC's 20,000 employees maintain semiconductor manufacturing facilities across multiple countries with high yield rates and consistent operational performance [1]. The company's ability to engage 10+ customers on advanced packaging and 20+ tape-outs shows commercial trust. Management's decision to maintain disciplined pricing strategies and reduce exposure to commoditized segments demonstrates cohesive strategic execution.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UMC competes against GlobalFoundries, SMIC, and TSMC in mature nodes. The Intel 12nm cooperation represents a creative response to competitive pressure — partnering with a rival for technology access rather than attempting independent development [1]. Management's explicit acknowledgment that it cannot win the leading-edge capex war shows healthy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UMC's strategic evolution from attempting to compete at leading-edge nodes (pre-2018) to deliberately focusing on mature/specialty processes represents a meaningful strategic pivot that improved profitability [1]. The new advanced packaging and silicon photonics initiatives show willingness to add capability layers beyond pure wafer foundry services. The Intel 12nm cooperation adds technology optionality.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UMC's decision to exit the leading-edge capex race in 2018, while initially criticized, proved prescient as the company achieved strong profitability in subsequent years [1]. Maintaining a 5.36% dividend yield while investing $1.5B in 2026 capex shows balanced capital allocation. The willingness to forecast flat Q1 2026 wafer shipments honestly, rather than promising recovery, demonstrates transparent communication.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UMC offers an attractive 5.36% dividend yield at 12.0x forward P/E with a conservatively managed balance sheet (20.8% D/E) and a strategic focus on mature/specialty semiconductor nodes that serve essential applications across automotive, IoT, networking, and consumer electronics [1]. The company anticipates outperforming its addressable market growth in 2026, driven by accelerating 22nm tape-outs, advanced packaging, and silicon photonics capabilities. The Intel 12nm cooperation advancing toward 2026 PDK delivery adds technology optionality. UMC's disciplined pricing strategy and product mix optimization point to an improving ASP environment in 2026, and 30.7% gross margins remain healthy for a mature-node foundry.</w:t>
      </w:r>
    </w:p>
    <w:p>
      <w:pPr>
        <w:spacing w:after="120"/>
      </w:pPr>
      <w:r>
        <w:rPr>
          <w:rFonts w:ascii="Calibri" w:hAnsi="Calibri"/>
          <w:b w:val="0"/>
          <w:color w:val="3A4A28"/>
          <w:sz w:val="20"/>
        </w:rPr>
        <w:t>The bear case is that UMC is being left behind by the AI semiconductor revolution — the company's mature nodes (22nm+) capture none of the direct AI chip manufacturing demand driving TSMC's growth, and capacity utilization in the mid-70% range signals softness [1]. Operating income declined 14.8% YoY in 2025, and the stock fell 11% after Q4 earnings despite revenue beating expectations. The 85.1% payout ratio limits reinvestment capacity at precisely the time UMC needs to invest in advanced packaging and silicon photonics to stay relevant [4]. Taiwan geopolitical risk (China tensions) represents an existential overhang, and rising depreciation (low-teens growth expected) will pressure margins in 2026 despite limited capacity expansion (~1.2% YoY).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22nm revenue growth accelerating with 31% QoQ increase to record levels, plus Intel 12nm PDK delivery in 2026 and tape-outs commencing 2027 [1]</w:t>
      </w:r>
    </w:p>
    <w:p>
      <w:pPr>
        <w:spacing w:before="40" w:after="40"/>
        <w:ind w:left="283"/>
      </w:pPr>
      <w:r>
        <w:rPr>
          <w:rFonts w:ascii="Calibri" w:hAnsi="Calibri"/>
          <w:b/>
          <w:color w:val="4A6B25"/>
          <w:sz w:val="20"/>
        </w:rPr>
        <w:t xml:space="preserve">2. </w:t>
      </w:r>
      <w:r>
        <w:rPr>
          <w:rFonts w:ascii="Calibri" w:hAnsi="Calibri"/>
          <w:b w:val="0"/>
          <w:color w:val="3A4A28"/>
          <w:sz w:val="20"/>
        </w:rPr>
        <w:t>Advanced chip packaging and silicon photonics as new growth engines with 10+ customer engagements and 20+ tape-outs planned for 2026 [1]</w:t>
      </w:r>
    </w:p>
    <w:p>
      <w:pPr>
        <w:spacing w:before="40" w:after="40"/>
        <w:ind w:left="283"/>
      </w:pPr>
      <w:r>
        <w:rPr>
          <w:rFonts w:ascii="Calibri" w:hAnsi="Calibri"/>
          <w:b/>
          <w:color w:val="4A6B25"/>
          <w:sz w:val="20"/>
        </w:rPr>
        <w:t xml:space="preserve">3. </w:t>
      </w:r>
      <w:r>
        <w:rPr>
          <w:rFonts w:ascii="Calibri" w:hAnsi="Calibri"/>
          <w:b w:val="0"/>
          <w:color w:val="3A4A28"/>
          <w:sz w:val="20"/>
        </w:rPr>
        <w:t>Improving ASP environment in 2026 from disciplined pricing strategies and reduced exposure to commoditized market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semiconductor demand concentration at leading-edge nodes (5nm and below) marginalizes UMC's mature-node focus, creating a structural growth ceiling [1]</w:t>
      </w:r>
    </w:p>
    <w:p>
      <w:pPr>
        <w:spacing w:before="40" w:after="40"/>
        <w:ind w:left="283"/>
      </w:pPr>
      <w:r>
        <w:rPr>
          <w:rFonts w:ascii="Calibri" w:hAnsi="Calibri"/>
          <w:b/>
          <w:color w:val="4A6B25"/>
          <w:sz w:val="20"/>
        </w:rPr>
        <w:t xml:space="preserve">2. </w:t>
      </w:r>
      <w:r>
        <w:rPr>
          <w:rFonts w:ascii="Calibri" w:hAnsi="Calibri"/>
          <w:b w:val="0"/>
          <w:color w:val="3A4A28"/>
          <w:sz w:val="20"/>
        </w:rPr>
        <w:t>Taiwan geopolitical risk from China tensions represents existential overhang for all Taiwan-based semiconductor companies</w:t>
      </w:r>
    </w:p>
    <w:p>
      <w:pPr>
        <w:spacing w:before="40" w:after="40"/>
        <w:ind w:left="283"/>
      </w:pPr>
      <w:r>
        <w:rPr>
          <w:rFonts w:ascii="Calibri" w:hAnsi="Calibri"/>
          <w:b/>
          <w:color w:val="4A6B25"/>
          <w:sz w:val="20"/>
        </w:rPr>
        <w:t xml:space="preserve">3. </w:t>
      </w:r>
      <w:r>
        <w:rPr>
          <w:rFonts w:ascii="Calibri" w:hAnsi="Calibri"/>
          <w:b w:val="0"/>
          <w:color w:val="3A4A28"/>
          <w:sz w:val="20"/>
        </w:rPr>
        <w:t>Rising depreciation (low-teens growth) on limited capacity expansion (~1.2% YoY) will pressure margins even if revenue improves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UMC occupies a nuanced AI position: while AI-driven demand for leading-edge chips (5nm and below) bypasses UMC's mature nodes, the company benefits indirectly through AI networking, sensor, and peripheral chip demand that uses 22nm-0.13um processes [1]. Silicon photonics and advanced chip packaging capabilities create adjacency to AI infrastructure. However, AI is concentrating semiconductor industry value at the leading edge (TSMC, Samsung), potentially marginalizing mature-node foundries over time. UMC's Intel 12nm cooperation is a step toward closer AI-relevant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UMC Q4 2025 Earnings Release and 2026 Outlook, January 2026</w:t>
      </w:r>
    </w:p>
    <w:p>
      <w:pPr>
        <w:spacing w:before="20" w:after="20"/>
        <w:ind w:left="170"/>
      </w:pPr>
      <w:r>
        <w:rPr>
          <w:rFonts w:ascii="Calibri" w:hAnsi="Calibri"/>
          <w:b/>
          <w:color w:val="4A6B25"/>
          <w:sz w:val="15"/>
        </w:rPr>
        <w:t xml:space="preserve">2. </w:t>
      </w:r>
      <w:r>
        <w:rPr>
          <w:rFonts w:ascii="Calibri" w:hAnsi="Calibri"/>
          <w:b w:val="0"/>
          <w:color w:val="3A4A28"/>
          <w:sz w:val="17"/>
        </w:rPr>
        <w:t>UMC corporate profile and Intel cooperation,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UMC ESG and sustainability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UMC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