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UNH</w:t>
      </w:r>
      <w:r>
        <w:rPr>
          <w:rFonts w:ascii="Calibri" w:hAnsi="Calibri"/>
          <w:b/>
          <w:color w:val="1A2010"/>
          <w:sz w:val="40"/>
        </w:rPr>
        <w:t xml:space="preserve">  UnitedHealth Group Incorporated</w:t>
      </w:r>
    </w:p>
    <w:p>
      <w:pPr>
        <w:spacing w:after="120"/>
      </w:pPr>
      <w:r>
        <w:rPr>
          <w:rFonts w:ascii="Calibri" w:hAnsi="Calibri"/>
          <w:b/>
          <w:color w:val="6E8450"/>
          <w:sz w:val="18"/>
        </w:rPr>
        <w:t>DIVIDEND SLEEVE · 2026-03-27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UnitedHealth Group is the largest U.S. health insurer and healthcare services company, operating through UnitedHealthcare (insurance) and Optum (health services, pharmacy, and data analytics). The company serves approximately 150 million individuals globally and generated $448B in 2025 revenue.</w:t>
      </w:r>
    </w:p>
    <w:p>
      <w:r>
        <w:rPr>
          <w:rFonts w:ascii="Calibri" w:hAnsi="Calibri"/>
          <w:b/>
          <w:color w:val="6E8450"/>
          <w:sz w:val="18"/>
        </w:rPr>
        <w:t>390,000 Employees · https://www.unitedhealthgroup.com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Optum's data analytics platform processes billions of healthcare encounters annually, and Optum Insight's AI-driven clinical decision support represents genuine healthcare technology innovation [1]. The integrated payer-provider-pharmacy model is unique in scale, and the company's investment in value-based care models through OptumHealth's 90,000+ physicians creates a differentiated healthcare delivery system [2]. However, the DOJ investigation into Medicare billing practices suggests innovation in revenue optimization may have crossed regulatory boundaries.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UNH faces severe reputational challenges following the December 2024 CEO shooting, DOJ Medicare investigation, congressional scrutiny of billing practices, and CEO Hemsley's admission of 'pricing and operational mistakes' [1]. The stock's 46%+ decline from all-time highs reflects deep erosion in public trust and investor confidence [2]. Despite 390,000 employees and massive healthcare impact, the company struggles with perception of prioritizing revenue extraction over patient welfare.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UNH's financial profile has deteriorated sharply — earnings plunged 41% in 2025, profit margins collapsed to 2.7%, and Medical Care Ratio hit 88.9% versus the 82-85% historical range [1]. For 2026, management guided revenue below $439B (first decline in 37 years) with 1.3-1.4M Medicare Advantage member losses [2]. D/E of 81.6% and $83B in total debt are significant, though forward P/E of 13.4x and 3.3% dividend yield at 66% payout ratio provide value appeal. The 19.6% stock crash on January 27, 2026 underscores market concern.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UNH has historically played an infinite game through its decades-long expansion of the integrated payer-provider model, but current crises — DOJ investigation, congressional scrutiny, membership losses, and public trust erosion — force reactive short-term management that undermines long-term positioning. CEO Hemsley's acknowledgment of 'mistakes' suggests the company's aggressive practices may have crossed ethical boundaries.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UNH's stated mission to help people live healthier lives is undermined by public controversy over prior authorization practices, Medicare billing investigations, and the perception of prioritizing revenue optimization over patient care [1]. The December 2024 tragedy crystallized public anger at the gap between mission and practice.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390,000 employees and deep healthcare expertise, UNH has built institutional capability, but the leadership turmoil — CEO Witty's departure, Hemsley's return, the DOJ investigation — creates organizational uncertainty [1]. The company's commitment to transparency on prior authorizations and claims approval rates signals self-awareness.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UNH faces competition from Cigna/Evernorth, Elevance, and CVS/Aetna, but its dominant market position means rivalry dynamics are more about regulatory response than competitive improvement [1]. The company's sheer scale often stifles rather than stimulates healthy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divestiture of UK and South American operations shows portfolio pruning flexibility, but the massive Medicare Advantage membership loss (1.3-1.4M members) is reactive rather than proactive strategic choice [1]. UNH's vertical integration model is both its strength and rigidity.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Hemsley showed courage in publicly acknowledging mistakes and committing to transparency reforms, but the company's historical pattern of aggressive billing and prior authorization practices suggests institutional resistance to meaningful change [2]. The pledge to return ACA exchange profits to consumers signals genuine reform intent.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UnitedHealth Group at 13.4x forward earnings and 3.3% dividend yield offers deep value entry into the nation's largest healthcare company during a period of maximum pessimism [1]. The company serves 150M+ lives with $448B in revenue and has grown dividends for 15 consecutive years at a 14% CAGR. Adjusted EPS guidance of $17.75 for 2026 implies 9% profit growth despite the revenue headwinds, and Optum's diversified health services platform provides a structural growth engine with 15%+ annual revenue growth [2]. The stock's 46% decline from highs prices in worst-case regulatory and operational scenarios.</w:t>
      </w:r>
    </w:p>
    <w:p>
      <w:pPr>
        <w:spacing w:after="120"/>
      </w:pPr>
      <w:r>
        <w:rPr>
          <w:rFonts w:ascii="Calibri" w:hAnsi="Calibri"/>
          <w:b w:val="0"/>
          <w:color w:val="3A4A28"/>
          <w:sz w:val="20"/>
        </w:rPr>
        <w:t>The bear case is multi-dimensional — the first revenue decline in 37 years, a DOJ investigation into Medicare billing, congressional scrutiny of billing practices, 1.3M+ Medicare Advantage member losses, and MCR of 88.9% creating structural margin pressure [1]. The CEO shooting in December 2024 crystallized public anger at the health insurance industry, creating political risk for the entire model. V28 coding changes reduce MA payments by $130B industry-wide over three years, and CMS Administrator Oz's proposed 0.09% 2027 rate increase (versus 4-6% expected) could further compress profitability [2]. The $83B debt load, leadership instability (third CEO in two years), and potential regulatory overhaul of prior authorization practices create a multi-year uncertainty overhang that may delay fundamental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Medical Care Ratio normalization from 88.9% toward 84-85% as post-pandemic procedure catch-up subsides and pricing actions take effect in 2026-2027 [1]</w:t>
      </w:r>
    </w:p>
    <w:p>
      <w:pPr>
        <w:spacing w:before="40" w:after="40"/>
        <w:ind w:left="283"/>
      </w:pPr>
      <w:r>
        <w:rPr>
          <w:rFonts w:ascii="Calibri" w:hAnsi="Calibri"/>
          <w:b/>
          <w:color w:val="4A6B25"/>
          <w:sz w:val="20"/>
        </w:rPr>
        <w:t xml:space="preserve">2. </w:t>
      </w:r>
      <w:r>
        <w:rPr>
          <w:rFonts w:ascii="Calibri" w:hAnsi="Calibri"/>
          <w:b w:val="0"/>
          <w:color w:val="3A4A28"/>
          <w:sz w:val="20"/>
        </w:rPr>
        <w:t>Optum Health expansion to 100,000+ physicians in value-based care arrangements, driving 15%+ revenue growth in the highest-margin segment [2]</w:t>
      </w:r>
    </w:p>
    <w:p>
      <w:pPr>
        <w:spacing w:before="40" w:after="40"/>
        <w:ind w:left="283"/>
      </w:pPr>
      <w:r>
        <w:rPr>
          <w:rFonts w:ascii="Calibri" w:hAnsi="Calibri"/>
          <w:b/>
          <w:color w:val="4A6B25"/>
          <w:sz w:val="20"/>
        </w:rPr>
        <w:t xml:space="preserve">3. </w:t>
      </w:r>
      <w:r>
        <w:rPr>
          <w:rFonts w:ascii="Calibri" w:hAnsi="Calibri"/>
          <w:b w:val="0"/>
          <w:color w:val="3A4A28"/>
          <w:sz w:val="20"/>
        </w:rPr>
        <w:t>DOJ investigation resolution or settlement that removes the legal overhang and allows investor focus to return to operational fundamentals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Medicare billing investigation results in a multi-billion dollar settlement or structural remedies that permanently reduce revenue extraction capability [1]</w:t>
      </w:r>
    </w:p>
    <w:p>
      <w:pPr>
        <w:spacing w:before="40" w:after="40"/>
        <w:ind w:left="283"/>
      </w:pPr>
      <w:r>
        <w:rPr>
          <w:rFonts w:ascii="Calibri" w:hAnsi="Calibri"/>
          <w:b/>
          <w:color w:val="4A6B25"/>
          <w:sz w:val="20"/>
        </w:rPr>
        <w:t xml:space="preserve">2. </w:t>
      </w:r>
      <w:r>
        <w:rPr>
          <w:rFonts w:ascii="Calibri" w:hAnsi="Calibri"/>
          <w:b w:val="0"/>
          <w:color w:val="3A4A28"/>
          <w:sz w:val="20"/>
        </w:rPr>
        <w:t>CMS Medicare Advantage rate cuts in 2027 at 0.09% versus 4-6% expected could force additional member exits and margin compression beyond current guidance [2]</w:t>
      </w:r>
    </w:p>
    <w:p>
      <w:pPr>
        <w:spacing w:before="40" w:after="40"/>
        <w:ind w:left="283"/>
      </w:pPr>
      <w:r>
        <w:rPr>
          <w:rFonts w:ascii="Calibri" w:hAnsi="Calibri"/>
          <w:b/>
          <w:color w:val="4A6B25"/>
          <w:sz w:val="20"/>
        </w:rPr>
        <w:t xml:space="preserve">3. </w:t>
      </w:r>
      <w:r>
        <w:rPr>
          <w:rFonts w:ascii="Calibri" w:hAnsi="Calibri"/>
          <w:b w:val="0"/>
          <w:color w:val="3A4A28"/>
          <w:sz w:val="20"/>
        </w:rPr>
        <w:t>Political and regulatory backlash against vertical integration of insurance and care delivery could force structural separation of UnitedHealthcare and Optum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significant enabler for UNH through Optum Insight's clinical analytics, predictive modeling for population health management, and automated claims processing [1]. The company's unmatched healthcare data asset — covering 150M+ lives — provides training data advantages that smaller competitors cannot replicate. However, AI also enables disruptive insurtech and care navigation startups that could challenge UNH's intermediary role in the healthcare value chain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UnitedHealth Group Q4 2025 Earnings Release, January 27, 2026; CNBC — UNH earnings analysis</w:t>
      </w:r>
    </w:p>
    <w:p>
      <w:pPr>
        <w:spacing w:before="20" w:after="20"/>
        <w:ind w:left="170"/>
      </w:pPr>
      <w:r>
        <w:rPr>
          <w:rFonts w:ascii="Calibri" w:hAnsi="Calibri"/>
          <w:b/>
          <w:color w:val="4A6B25"/>
          <w:sz w:val="15"/>
        </w:rPr>
        <w:t xml:space="preserve">2. </w:t>
      </w:r>
      <w:r>
        <w:rPr>
          <w:rFonts w:ascii="Calibri" w:hAnsi="Calibri"/>
          <w:b w:val="0"/>
          <w:color w:val="3A4A28"/>
          <w:sz w:val="17"/>
        </w:rPr>
        <w:t>Yahoo Finance — UNH key statistics, accessed March 2026; Fortune — UNH stock analysis; STAT News — UNH Medicare Advantage contraction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