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UNM</w:t>
      </w:r>
      <w:r>
        <w:rPr>
          <w:rFonts w:ascii="Calibri" w:hAnsi="Calibri"/>
          <w:b/>
          <w:color w:val="1A2010"/>
          <w:sz w:val="40"/>
        </w:rPr>
        <w:t xml:space="preserve">  Unum Group</w:t>
      </w:r>
    </w:p>
    <w:p>
      <w:pPr>
        <w:spacing w:after="120"/>
      </w:pPr>
      <w:r>
        <w:rPr>
          <w:rFonts w:ascii="Calibri" w:hAnsi="Calibri"/>
          <w:b/>
          <w:color w:val="6E8450"/>
          <w:sz w:val="18"/>
        </w:rPr>
        <w:t>DIVIDEND SLEEVE · 2026-04-23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Unum Group provides financial protection benefit solutions through four segments: Unum US, Unum International, Colonial Life, and Closed Block. Products include group long-term and short-term disability, group life, accidental death and dismemberment, supplemental and voluntary benefits, dental, vision, accident, sickness, and cancer/critical illness coverage. The company sells to employers through field sales, brokers, and independent agents. Founded 1848, headquartered in Chattanooga, Tennessee.</w:t>
      </w:r>
    </w:p>
    <w:p>
      <w:r>
        <w:rPr>
          <w:rFonts w:ascii="Calibri" w:hAnsi="Calibri"/>
          <w:b/>
          <w:color w:val="6E8450"/>
          <w:sz w:val="18"/>
        </w:rPr>
        <w:t>10,684 Employees · https://www.unum.com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Unum has not launched transformative products or executed business model pivots in recent years — the company's core disability and supplemental benefits product suite is essentially unchanged [1]. Revenue growth of just 0.2% YoY reflects a mature, stable business rather than an innovative one. The Closed Block wind-down is a responsible financial decision but not an innovation. AI Deployment (1/2): Unum appointed Shelia Anderson as Chief Information and Digital Officer to lead cloud computing, AI, and data analytics adoption, particularly in claims processing [2]. The company won technology innovation awards in 2023, but no specific AI-driven revenue or quantified cost savings have been disclosed. Market Share (1/2): Unum is a leading provider of employer-sponsored disability and supplemental benefits in the U.S. and UK, serving ~25M people worldwide [1]. However, the competitive landscape includes MetLife, Hartford, and Lincoln Financial with significant overlap. Pipeline (0/2): No specific next-generation products or services announced with timelines. 2026 guidance of 4–7% premium growth represents incremental organic growth, not product innovation [1]. R&amp;D Intensity (1/1): Investment in digital transformation and AI-driven claims processing is above average for a life/disability insurer, with the CIDO appointment signaling technology as a priority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Unum's mission focuses on 'helping the working world thrive throughout life's moments' — clear, specific to its employee benefits niche, and connects to a broader purpose of financial protection for workers [2]. It is thoughtful but not transformative or uniquely differentiated from peers like MetLife or Hartford. Community Impact (2/2): Unum gave $12M in corporate and employee contributions to charitable causes and employees performed 45,000+ volunteer hours [3]. The company was recognized as one of Ethisphere's World's Most Ethical Companies in 2023, demonstrating institutional commitment to community and ethics. Employee Retention (1/2): Glassdoor data shows 57% of employees would recommend working at Unum, which is below average for the industry [2]. Some reviews cite retaliation for speaking up and slow career progression despite constant change, suggesting mixed employee satisfaction. CEO McKenney's tenure provides leadership continuity. Insider Buying (1/2): CEO Richard McKenney has significant equity exposure through long-tenure compensation. The company plans to return ~100% of 2026 earnings through dividends and buybacks ($1.4–1.6B in statutory earnings), signaling capital allocation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financial profile is strong for a life insurance company, anchored by exceptional dividend metrics and a conservative balance sheet. D/E of 37% is very low for an insurer, with $3.2B cash against $4.1B debt [4]. Forward P/E of 8.0x is deeply discounted, reflecting market concerns about the Closed Block and earnings growth sustainability. ROE of 6.7% is below the 15% target but typical for life insurers with large legacy books. Profit margin of 5.6% is low but consistent with the insurance business model where investment income supplements underwriting [4]. Revenue growth of 0.2% YoY and 3.0% 5yr CAGR reflect mature, stable topline. The dividend profile is exceptional: 40 consecutive years paid, 17 consecutive years of growth, 9.1% 5yr dividend growth CAGR, and 41.2% payout ratio — all at or above targets [1]. 2026 guidance of 8–12% EPS growth with 100% capital return confirms capital generation strength. Liquidity floor easily cleared: 1.7M avg vol x $77.33 = $129.2M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Unum demonstrates mixed infinite game characteristics — the company's 178-year history (founded 1848) and 17 consecutive years of dividend growth suggest endurance capability, but the Closed Block overhang and mixed employee sentiment indicate organizational challenges. The commitment to returning 100% of earnings to shareholders is generous but could be interpreted as either shareholder alignment or a lack of reinvestment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mission of 'helping the working world thrive throughout life's moments' connects its disability and benefits products to a genuine social purpose — protecting workers during their most vulnerable moments (illness, disability, death) [2]. This cause has been validated by 178 years of consistent focus on employee protection, surviving multiple economic cycles, industry consolidations, and the Closed Block challenges. However, the mission reads as corporate rather than transformative — it serves a clear need but doesn't inspire broader change.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CEO McKenney provides leadership continuity, and the company employs 10,684 people with a long institutional history [2]. However, Glassdoor shows only 57% recommend working at Unum, with some employees citing retaliation for speaking up, slow career progression, and pressure to adapt to constant change without support [2]. The B-rated executive team on Comparably (Top 35%) is adequate but not exceptional. The Ethisphere recognition suggests ethical governance, but employee experience is uneven.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 operates in a competitive landscape with MetLife, Hartford, Lincoln Financial, and Principal, and the company's strategic focus on disability and supplemental benefits (rather than trying to be a full-service life insurer) suggests awareness of where it can and cannot compete [2]. The decision to wind down the Closed Block rather than compete in legacy long-term care demonstrates competitive self-awareness.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Unum's business model has remained fundamentally unchanged for decades — group disability, life, and supplemental benefits sold through employer channels [1]. The Closed Block wind-down represents financial discipline but not strategic reinvention. The company has not made transformative pivots or entered new markets. The appointment of a CIDO and digital transformation efforts represent incremental modernization, not existential flexibility. For a 178-year-old company, the lack of major strategic pivots is both a sign of stability and rigidity.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shift the Closed Block 'below the line' and commit to 100% capital return in 2026 ($1.4–1.6B) shows capital allocation discipline [1]. The company has maintained 17 consecutive years of dividend growth through the financial crisis and COVID-19, demonstrating commitment to shareholder returns even under pressure. However, no evidence of truly contrarian or costly strategic decisions was found — the company follows conventional insurer playbook.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Unum Group is a deeply undervalued dividend compounder trading at 8.0x forward earnings with 2026 EPS guidance of $8.60–8.90 (8–12% growth), supported by 40 consecutive years of dividend payments, 17 consecutive years of dividend growth, and a 9.1% 5yr dividend growth CAGR [1]. The 2.38% yield with 41% payout ratio provides ample room for continued dividend increases, and the company's commitment to returning ~100% of 2026 statutory earnings ($1.4–1.6B) through dividends and buybacks demonstrates capital allocation discipline. D/E of just 37% and $3.2B cash provide balance sheet safety rare among insurers [4]. Core premium growth guidance of 4–7% shows durable demand for employer-sponsored disability and supplemental benefits serving 25M people worldwide [1].</w:t>
      </w:r>
    </w:p>
    <w:p>
      <w:pPr>
        <w:spacing w:after="120"/>
      </w:pPr>
      <w:r>
        <w:rPr>
          <w:rFonts w:ascii="Calibri" w:hAnsi="Calibri"/>
          <w:b w:val="0"/>
          <w:color w:val="3A4A28"/>
          <w:sz w:val="20"/>
        </w:rPr>
        <w:t>The bear case centers on growth limitations and legacy risks. Revenue growth of 0.2% YoY and 3.0% 5yr CAGR position Unum as a slow-growth business, and the Closed Block runoff creates earnings volatility that obscures core performance (trailing EPS of $4.27 vs. forward EPS of $9.69 reflects the Closed Block reclassification) [4]. ROE of 6.7% and profit margin of 5.6% are below industry averages, reflecting the capital-intensive nature of long-term disability underwriting and the drag from legacy liabilities. The life/disability insurance market is mature with limited pricing power, and competition from MetLife, Hartford, and Lincoln Financial limits market share gains [2]. Earnings growth of -45.9% trailing reflects the Closed Block distortion, but normalized growth of 8–12% may not sustain at that pace as favorable reserve releases diminish. Glassdoor satisfaction of 57% recommendation rate suggests internal cultural challenges that could impact long-term talent retention and operational execution [2]. The company's lack of product innovation and minimal AI adoption relative to peers creates risk of gradual competitive erosion.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EPS guidance of $8.60–8.90 (8–12% growth) with Closed Block shifted below the line, providing cleaner core earnings visibility for the first time [1]</w:t>
      </w:r>
    </w:p>
    <w:p>
      <w:pPr>
        <w:spacing w:before="40" w:after="40"/>
        <w:ind w:left="283"/>
      </w:pPr>
      <w:r>
        <w:rPr>
          <w:rFonts w:ascii="Calibri" w:hAnsi="Calibri"/>
          <w:b/>
          <w:color w:val="4A6B25"/>
          <w:sz w:val="20"/>
        </w:rPr>
        <w:t xml:space="preserve">2. </w:t>
      </w:r>
      <w:r>
        <w:rPr>
          <w:rFonts w:ascii="Calibri" w:hAnsi="Calibri"/>
          <w:b w:val="0"/>
          <w:color w:val="3A4A28"/>
          <w:sz w:val="20"/>
        </w:rPr>
        <w:t>100% capital return commitment — $1.4–1.6B in statutory earnings deployed through dividends and buybacks, supporting 17th+ consecutive year of dividend growth [1]</w:t>
      </w:r>
    </w:p>
    <w:p>
      <w:pPr>
        <w:spacing w:before="40" w:after="40"/>
        <w:ind w:left="283"/>
      </w:pPr>
      <w:r>
        <w:rPr>
          <w:rFonts w:ascii="Calibri" w:hAnsi="Calibri"/>
          <w:b/>
          <w:color w:val="4A6B25"/>
          <w:sz w:val="20"/>
        </w:rPr>
        <w:t xml:space="preserve">3. </w:t>
      </w:r>
      <w:r>
        <w:rPr>
          <w:rFonts w:ascii="Calibri" w:hAnsi="Calibri"/>
          <w:b w:val="0"/>
          <w:color w:val="3A4A28"/>
          <w:sz w:val="20"/>
        </w:rPr>
        <w:t>Core premium growth of 4–7% driven by employer benefits demand, with disability and supplemental products benefiting from tight labor markets and increased employer focus on retention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Closed Block legacy liabilities creating tail risk — while shifted below the line, residual long-term care and individual disability obligations could generate reserve charges [1]</w:t>
      </w:r>
    </w:p>
    <w:p>
      <w:pPr>
        <w:spacing w:before="40" w:after="40"/>
        <w:ind w:left="283"/>
      </w:pPr>
      <w:r>
        <w:rPr>
          <w:rFonts w:ascii="Calibri" w:hAnsi="Calibri"/>
          <w:b/>
          <w:color w:val="4A6B25"/>
          <w:sz w:val="20"/>
        </w:rPr>
        <w:t xml:space="preserve">2. </w:t>
      </w:r>
      <w:r>
        <w:rPr>
          <w:rFonts w:ascii="Calibri" w:hAnsi="Calibri"/>
          <w:b w:val="0"/>
          <w:color w:val="3A4A28"/>
          <w:sz w:val="20"/>
        </w:rPr>
        <w:t>Slow revenue growth (0.2% YoY) in a mature market limits upside — premium growth of 4–7% guided for 2026 may not accelerate meaningfully given competitive saturation [1]</w:t>
      </w:r>
    </w:p>
    <w:p>
      <w:pPr>
        <w:spacing w:before="40" w:after="40"/>
        <w:ind w:left="283"/>
      </w:pPr>
      <w:r>
        <w:rPr>
          <w:rFonts w:ascii="Calibri" w:hAnsi="Calibri"/>
          <w:b/>
          <w:color w:val="4A6B25"/>
          <w:sz w:val="20"/>
        </w:rPr>
        <w:t xml:space="preserve">3. </w:t>
      </w:r>
      <w:r>
        <w:rPr>
          <w:rFonts w:ascii="Calibri" w:hAnsi="Calibri"/>
          <w:b w:val="0"/>
          <w:color w:val="3A4A28"/>
          <w:sz w:val="20"/>
        </w:rPr>
        <w:t>Below-average employee satisfaction (57% Glassdoor recommend) with reports of retaliation and slow career progression could impact talent retention and operational execution in an increasingly AI-driven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Unum's core disability and supplemental benefits business is protected by significant regulatory barriers, long-term employer relationships, and the complexity of underwriting employee populations [2]. Claims adjudication for disability insurance requires medical judgment, legal interpretation, and case-specific analysis that AI can augment but not fully replace. The employer benefits distribution channel (field sales, brokers) is relationship-intensive. However, AI-driven claims automation could pressure margins by enabling competitors to process claims more efficiently, and AI-powered InsurTech competitors may target simpler supplemental benefit products (accident, critical illness). AI Opportunity (1/1): Unum's CIDO Shelia Anderson is driving AI adoption in claims processing, cloud computing, and data analytics, with technology innovation awards demonstrating tangible deployment [2]. AI-driven claims triage and processing efficiency represent meaningful cost reduction potential across Unum's high-volume claims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Unum Group Q4 2025 Earnings and 2026 Guidance — EPS $8.60–8.90, premium growth 4–7%, 100% capital return, Closed Block reclassification,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Unum corporate website, Glassdoor reviews (57% recommend), CIDO Shelia Anderson appointment, AI/digital transformation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Unum ESG Report — $12M charitable contributions, 45,000 volunteer hours, Ethisphere World's Most Ethical Companies 2023,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UNM,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