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UNP</w:t>
      </w:r>
      <w:r>
        <w:rPr>
          <w:rFonts w:ascii="Calibri" w:hAnsi="Calibri"/>
          <w:b/>
          <w:color w:val="1A2010"/>
          <w:sz w:val="40"/>
        </w:rPr>
        <w:t xml:space="preserve">  Union Pacific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2026-04-08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Railroads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Union Pacific operates one of the two major U.S. Class I western railroads, with 32,000+ miles of track across 23 states. The company achieved record safety, service, and operating results in 2025 with full-year EPS of $11.98.</w:t>
      </w:r>
    </w:p>
    <w:p>
      <w:r>
        <w:rPr>
          <w:rFonts w:ascii="Calibri" w:hAnsi="Calibri"/>
          <w:b/>
          <w:color w:val="6E8450"/>
          <w:sz w:val="18"/>
        </w:rPr>
        <w:t>29,287 Employees · https://www.up.com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2025 EPS of $11.98 with 8% growth, achieving record safety and operational efficiency — steady but not transformative [1]. AI Deployment (1/2): Deploying AI for predictive maintenance, fuel optimization, and network management with measurable operational improvements. Market Share (2/2): One of two major U.S. western railroads with dominant market share in western freight — essential infrastructure with no meaningful competition beyond BNSF [1]. Pipeline (0/2): Mid single-digit EPS growth guidance for 2026 is modest. R&amp;D Intensity (1/1): Above-average technology investment for a railroad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Specific mission around building America through freight transportation — connects to national economic infrastructure with genuine intentionality [1]. Community Impact (1/2): 29,287 employees across 23 states with significant community presence. Employee Retention (1/2): Large, stable workforce typical for railroads. Insider Buying (1/2): Some management equity exposure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Union Pacific demonstrates excellent financial discipline. Forward P/E of 18.13 is below the 20 target, profit margin of 29.1% significantly exceeds the 20% target, and D/E of 177.7% reflects typical railroad leverage [1]. Revenue was flat YoY but EPS grew 8% through operational efficiency. ROE of 40.4% is exceptional. Dividend yield of 2.24% with 45.4% payout ratio is sustainable and growing. The stock trades at $246.11 with $838M daily liquidity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Union Pacific plays a moderately infinite game as an essential American infrastructure company that has operated for over 160 years. The railroad's endurance through multiple economic eras demonstrates inherent infinite-game characteristics.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 pts → 7/10): Building America through freight transportation is a genuine purpose validated by 160+ years of operations. The railroad network is literally woven into the economic fabric of the western United States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trust (1 pt → 6/10): 29,287 employees with strong union relationships and long tenure typical for railroads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(1 pt → 10/10): UNP acknowledges BNSF's operational strengths and uses competitive benchmarking to drive efficiency improvements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2/10): Railroads are inherently rigid — the infrastructure cannot be repurposed. UNP remains a pure-play railroad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 → 6/10): Invested in precision scheduled railroading and technology transformation despite short-term cost pressure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Union Pacific is an essential American infrastructure company with natural monopoly characteristics — one of two western Class I railroads with 32,000+ miles of track serving 23 states [1]. Record 2025 operations with $11.98 EPS (+8%), 29.1% profit margins, and 40.4% ROE demonstrate operational excellence. Forward P/E of 18.13 and 2.24% dividend yield (growing at 8% 5yr CAGR with 45.4% payout ratio) make it attractively valued. Mid single-digit EPS growth guidance for 2026 provides steady compound returns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includes flat revenue growth (-0.6% YoY) suggesting volume headwinds, high D/E of 177.7%, and economic sensitivity. Railroad volumes correlate with industrial production and consumer spending [1]. Rail inflation above 4% in 2026 could pressure customers to seek trucking alternatives for shorter hauls. The stock's premium valuation assumes continued margin expansion which has a natural ceiling. Regulatory risk from potential new railroad safety requirements could increase costs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Mid single-digit EPS growth in 2026 from $11.98 base with pricing exceeding rail inflation above 4%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operational efficiency gains in predictive maintenance and network optimization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E-commerce freight volume growth and nearshoring driving intermodal demand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Economic cyclicality — flat revenue in 2025 shows sensitivity to industrial activity levels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D/E of 177.7% creates financial leverage risk in a downturn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risk from railroad safety requirements and labor relations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Railroad freight transportation is essential physical infrastructure that AI structurally cannot displace — moving physical goods across the western U.S. requires 32,000+ miles of track, locomotives, and terminal infrastructure [1]. AI actually increases demand through e-commerce freight volumes. Railroads are natural monopolies with impenetrable barriers to entry. AI Opportunity (1/1): UNP generates measurable AI-driven operational improvements in predictive maintenance, fuel optimization, and network scheduling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Union Pacific Q4/FY2025 Results — Record operations, $11.98 EPS (+8%), $6.1B Q4 revenue,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Union Pacific 2026 Outlook — Mid single-digit EPS growth, rail inflation above 4%, pricing exceeding inflation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UNP (Union Pacific),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