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UPB</w:t>
      </w:r>
      <w:r>
        <w:rPr>
          <w:rFonts w:ascii="Calibri" w:hAnsi="Calibri"/>
          <w:b/>
          <w:color w:val="1A2010"/>
          <w:sz w:val="40"/>
        </w:rPr>
        <w:t xml:space="preserve">  Upstream Bio, Inc.</w:t>
      </w:r>
    </w:p>
    <w:p>
      <w:pPr>
        <w:spacing w:after="120"/>
      </w:pPr>
      <w:r>
        <w:rPr>
          <w:rFonts w:ascii="Calibri" w:hAnsi="Calibri"/>
          <w:b/>
          <w:color w:val="6E8450"/>
          <w:sz w:val="18"/>
        </w:rPr>
        <w:t>GROWTH SLEEVE · 2026-04-29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Upstream Bio is a clinical-stage biotechnology company developing verekitug, a fully human monoclonal antibody targeting the thymic stromal lymphopoietin receptor (TSLPR), for the treatment of severe respiratory disorders including asthma, chronic rhinosinusitis with nasal polyps (CRSwNP), and chronic obstructive pulmonary disease (COPD).</w:t>
      </w:r>
    </w:p>
    <w:p>
      <w:r>
        <w:rPr>
          <w:rFonts w:ascii="Calibri" w:hAnsi="Calibri"/>
          <w:b/>
          <w:color w:val="6E8450"/>
          <w:sz w:val="18"/>
        </w:rPr>
        <w:t>75 Employees · https://upstreambio.com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Upstream Bio was incorporated in 2021 and has progressed verekitug from preclinical through three concurrent Phase 2 trials (VALIANT in asthma, VIBRANT in CRSwNP, VENTURE in COPD) — rapid clinical execution for a young company, though no marketed product yet [1]. AI Deployment (0/2): No evidence of AI-powered drug discovery or AI-driven operational efficiencies; the company uses a traditional biologics development approach [2]. Market Share Leadership (1/2): Verekitug targets the anti-TSLPR pathway, competing against Amgen's tezepelumab (Tezspire) in a category with limited competition and significant unmet need in severe respiratory disease [1]. Product Pipeline (2/2): Three active Phase 2 trials with specific timelines — VIBRANT top-line data reported positive results in CRSwNP (September 2025), VALIANT asthma data showed 56% reduction in flare-ups, and VENTURE in COPD dosed first patient in July 2025 [1]. R&amp;D Intensity (1/1): As a clinical-stage biotech, virtually 100% of expenditure is R&amp;D — well above industry average by definition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Upstream Bio's mission focuses on developing transformative treatments for people living with severe inflammatory diseases, particularly respiratory disorders — clear, identifies patients as stakeholders, but standard for clinical-stage biotech without distinctive language [2]. Community &amp; Charitable Impact (0/2): No evidence of charitable programs or community investment found; expected for a 75-person clinical-stage company focused on conserving capital for drug development [3]. Employee Retention (1/2): CEO Rand Sutherland (appointed April 2024) brings 25+ years of experience from Seeker Biologics and Translate Bio; the appointment of Lisa Fiering as SVP of People &amp; Culture signals intentional culture-building, though the company is too new to assess retention data [2]. Insider Buying (0/2): No significant insider buying data found in public records; as a recently IPO'd company, insider transactions are primarily equity compensation rather than discretionary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Upstream Bio's balance sheet is typical of well-funded clinical-stage biotech: minimal debt (D/E of 0.4%) with $470.5M in cash and short-term investments as of December 2024, providing runway through 2027 [1]. Revenue of $2.85M is negligible collaboration/grant income — this is a pre-commercial company burning approximately $150M annually on clinical trials [1]. ROE is deeply negative (-35.4%) reflecting ongoing operating losses, and profit margin is 0% [2]. The stock trades at a market cap of $518M, which values the verekitug pipeline at a significant discount to peak sales estimates for anti-TSLPR therapies. Forward P/E and PEG are nonsensical for a pre-revenue biotech and excluded from the mechanical calculation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Upstream Bio is a young company (founded 2021) with a single drug candidate in Phase 2, making it inherently difficult to assess infinite game characteristics. The company demonstrates genuine mission orientation around treating severe respiratory disease, but lacks the track record, leadership continuity, and strategic flexibility to score highly on Sinek's framework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Upstream Bio's cause — developing transformative treatments for severe inflammatory respiratory diseases — is genuine and addresses significant patient suffering, but it is indistinguishable from dozens of other clinical-stage biotechs with similar disease-focused missions. The cause has not been tested through crisis or validated over time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April 2024 leadership overhaul with CEO Rand Sutherland, CFO/COO Mike Gray, and SVP People &amp; Culture Lisa Fiering represents intentional team-building with experienced biotech veterans. The specific creation of a People &amp; Culture role at this early stage signals attention to organizational health, though the team is too new to assess trust dynamics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Upstream Bio positions verekitug primarily against Amgen's tezepelumab (Tezspire), but competitive framing focuses on clinical superiority rather than learning from rivals. Management commentary emphasizes differentiated dosing schedules and broader indication coverage rather than acknowledging areas where competitors excel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single-asset clinical-stage company with one drug candidate (verekitug) across three indications, Upstream Bio has demonstrated no strategic pivots and has limited flexibility to reinvent itself. The company's fate is binary — verekitug either succeeds in clinical trials or the company has no clear path forward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three concurrent Phase 2 trials across asthma, CRSwNP, and COPD simultaneously requires significant capital commitment and risk tolerance — most biotechs would sequence indications. CEO Sutherland is betting the company's runway on parallel development to accelerate the value inflection timeline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Upstream Bio offers high-risk/high-reward exposure to the anti-TSLPR pathway in respiratory disease, with verekitug advancing through three concurrent Phase 2 trials targeting a combined addressable market of $30B+ across severe asthma, CRSwNP, and COPD [1]. The VIBRANT trial in CRSwNP reported positive top-line results in September 2025, and the VALIANT asthma trial showed a 56% reduction in annualized flare-up rates versus placebo. With $470.5M in cash providing runway through 2027, the company has sufficient capital to reach multiple value-inflecting data readouts without near-term dilution [1].</w:t>
      </w:r>
    </w:p>
    <w:p>
      <w:pPr>
        <w:spacing w:after="120"/>
      </w:pPr>
      <w:r>
        <w:rPr>
          <w:rFonts w:ascii="Calibri" w:hAnsi="Calibri"/>
          <w:b w:val="0"/>
          <w:color w:val="3A4A28"/>
          <w:sz w:val="20"/>
        </w:rPr>
        <w:t>The bear case is substantial: the VALIANT asthma data, while showing a 56% flare-up reduction, triggered a 47% stock decline, suggesting the market expected stronger efficacy versus tezepelumab's established profile [1]. Upstream Bio generates essentially zero product revenue, burns approximately $150M annually, and its entire valuation rests on a single drug candidate with binary Phase 2/3 outcomes. Competition from Amgen's Tezspire (already generating ~$1B+ in annual sales) and potential new TSLPR entrants could limit verekitug's commercial opportunity even with positive data. The $518M market cap implies significant skepticism about the program's probability of success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VENTURE Phase 2 trial in COPD with data readout expected in 2026, potentially opening the largest market opportunity among the three indications</w:t>
      </w:r>
    </w:p>
    <w:p>
      <w:pPr>
        <w:spacing w:before="40" w:after="40"/>
        <w:ind w:left="283"/>
      </w:pPr>
      <w:r>
        <w:rPr>
          <w:rFonts w:ascii="Calibri" w:hAnsi="Calibri"/>
          <w:b/>
          <w:color w:val="4A6B25"/>
          <w:sz w:val="20"/>
        </w:rPr>
        <w:t xml:space="preserve">2. </w:t>
      </w:r>
      <w:r>
        <w:rPr>
          <w:rFonts w:ascii="Calibri" w:hAnsi="Calibri"/>
          <w:b w:val="0"/>
          <w:color w:val="3A4A28"/>
          <w:sz w:val="20"/>
        </w:rPr>
        <w:t>Phase 3 trial initiation for CRSwNP following positive VIBRANT results, which would represent a significant de-risking milestone for the lead indication</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for ex-US rights could provide non-dilutive capital and validate the platform's commercial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verekitug Phase 2 asthma data disappointed the market (47% stock drop), and further negative readouts in COPD could eliminate the investment case entirely</w:t>
      </w:r>
    </w:p>
    <w:p>
      <w:pPr>
        <w:spacing w:before="40" w:after="40"/>
        <w:ind w:left="283"/>
      </w:pPr>
      <w:r>
        <w:rPr>
          <w:rFonts w:ascii="Calibri" w:hAnsi="Calibri"/>
          <w:b/>
          <w:color w:val="4A6B25"/>
          <w:sz w:val="20"/>
        </w:rPr>
        <w:t xml:space="preserve">2. </w:t>
      </w:r>
      <w:r>
        <w:rPr>
          <w:rFonts w:ascii="Calibri" w:hAnsi="Calibri"/>
          <w:b w:val="0"/>
          <w:color w:val="3A4A28"/>
          <w:sz w:val="20"/>
        </w:rPr>
        <w:t>Cash runway through 2027 requires disciplined spending; any trial delays or expansion of clinical programs could necessitate dilutive financing at depressed share prices</w:t>
      </w:r>
    </w:p>
    <w:p>
      <w:pPr>
        <w:spacing w:before="40" w:after="40"/>
        <w:ind w:left="283"/>
      </w:pPr>
      <w:r>
        <w:rPr>
          <w:rFonts w:ascii="Calibri" w:hAnsi="Calibri"/>
          <w:b/>
          <w:color w:val="4A6B25"/>
          <w:sz w:val="20"/>
        </w:rPr>
        <w:t xml:space="preserve">3. </w:t>
      </w:r>
      <w:r>
        <w:rPr>
          <w:rFonts w:ascii="Calibri" w:hAnsi="Calibri"/>
          <w:b w:val="0"/>
          <w:color w:val="3A4A28"/>
          <w:sz w:val="20"/>
        </w:rPr>
        <w:t>Amgen's tezepelumab (Tezspire) has first-mover advantage with established physician familiarity, creating a high commercial bar for verekitug even with positive Phase 3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Upstream Bio's core business — developing a monoclonal antibody through clinical trials requiring wet-lab biology, patient enrollment, and FDA-regulated endpoints — is substantially protected from AI disruption. AI cannot replace the physical clinical trial process, patient dosing, or regulatory approval pathway [1]. However, AI-driven drug discovery competitors could accelerate development of competing TSLPR-targeting molecules or identify superior targets, creating indirect competitive pressure on the pipeline's differentiation window [2]. AI Opportunity (1/1): While Upstream Bio does not currently deploy AI in its R&amp;D pipeline, AI-assisted tools for clinical trial design, patient stratification, and biomarker identification represent potential operational efficiencies that the company could adopt to optimize its Phase 2/3 programs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Upstream Bio Q4 2024 and Full Year 2024 Financial Results, March 12, 2025; Q1 2025 Financial Results and clinical trial press releases,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UPB key statistics and company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Upstream Bio corporate website and investor relations,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