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UPST</w:t>
      </w:r>
      <w:r>
        <w:rPr>
          <w:rFonts w:ascii="Calibri" w:hAnsi="Calibri"/>
          <w:b/>
          <w:color w:val="1A2010"/>
          <w:sz w:val="40"/>
        </w:rPr>
        <w:t xml:space="preserve">  Upstart Holdings, Inc.</w:t>
      </w:r>
    </w:p>
    <w:p>
      <w:pPr>
        <w:spacing w:after="120"/>
      </w:pPr>
      <w:r>
        <w:rPr>
          <w:rFonts w:ascii="Calibri" w:hAnsi="Calibri"/>
          <w:b/>
          <w:color w:val="6E8450"/>
          <w:sz w:val="18"/>
        </w:rPr>
        <w:t>GROWTH SLEEVE · 2026-03-31 · Inspire: 40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Credit Services · NASDAQ · United States</w:t>
      </w:r>
    </w:p>
    <w:p>
      <w:pPr>
        <w:spacing w:after="80"/>
      </w:pPr>
      <w:r>
        <w:rPr>
          <w:rFonts w:ascii="Calibri" w:hAnsi="Calibri"/>
          <w:b w:val="0"/>
          <w:color w:val="3A4A28"/>
          <w:sz w:val="20"/>
        </w:rPr>
        <w:t>Upstart Holdings operates a cloud-based AI lending platform connecting consumers to 100+ banks and credit unions. The platform uses proprietary AI models to underwrite personal loans, auto loans, home equity lines of credit, and small-dollar credit lines, with over 90% of loans fully automated. Upstart has originated $53.5 billion in loans for 4 million+ customers since founding in 2012.</w:t>
      </w:r>
    </w:p>
    <w:p>
      <w:r>
        <w:rPr>
          <w:rFonts w:ascii="Calibri" w:hAnsi="Calibri"/>
          <w:b/>
          <w:color w:val="6E8450"/>
          <w:sz w:val="18"/>
        </w:rPr>
        <w:t>1,405 Employees · https://www.upstart.com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Upstart has executed a remarkable turnaround from a $508M revenue trough in 2023 to over $1B in 2025 (64% YoY growth), proving the AI lending model's resilience through a full credit cycle [1]. The expansion from personal loans into auto retail, home equity, and the February 2026 'Cash Line' small-dollar revolving credit product demonstrates serial product innovation. The 2020 IPO and scaling to $53.5B cumulative originations across 4M+ customers validates the business model [2]. AI Deployment (2/2): AI IS the product — Upstart's proprietary models automate 90%+ of loan decisions with no human intervention, directly generating all company revenue [2]. The platform replaces FICO-based underwriting with AI-driven risk assessment, and the company is applying for a national bank charter to further integrate AI into the credit value chain. Market Share (1/2): Upstart is the leading independent AI lending marketplace, partnering with 100+ banks and credit unions, but remains a small fraction of the $4.5T US consumer lending market. The platform is gaining share but does not yet dominate any category [1]. Pipeline (1/2): Multi-product expansion into auto retail, home equity, small business lending, and the Cash Line product provide a visible pipeline. The bank charter application and 35% revenue CAGR target through 2028 show ambition, though execution risk is high [2]. R&amp;D Intensity (1/1): Gross margins of 82.5% fund substantial R&amp;D investment in AI model development, with the co-founder/CTO (Paul Gu) becoming CEO — signaling that R&amp;D and product development are the company's top priority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Upstart's mission — to enable effortless credit based on true risk — is specific, thoughtful, and challenges the decades-old FICO paradigm that excludes creditworthy borrowers from affordable credit [2]. Girouard has consistently articulated that AI can democratize lending, expanding access to credit for underserved populations. The mission has been validated by 4M+ customers and $53.5B in originations. However, it hasn't yet survived the multi-decade test. Community Impact (1/2): Upstart publishes annual Fair Lending Audits and participates in regulatory sandboxes, demonstrating commitment to equitable lending outcomes [3]. The Cash Line product targets high-cost payday lending alternatives, serving underbanked consumers. However, the securities fraud probe over Model 22 disclosures raises questions about transparency [3]. Employee Retention (1/2): At 1,405 employees, Upstart is lean. The founders' 14-year partnership and Sanjay Datta's 9-year tenure as CFO/President suggest strong cultural retention at the top. Girouard's values established in year one reportedly remain accurate 14 years later [2]. Insider Buying (1/2): The CEO transition involves both founders maintaining deep involvement — Girouard remains Executive Chairman. However, recent insider transactions show net selling by officers (Datta $238K, Darling $205K), offset by stock award grants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Upstart's financial profile reflects a high-growth fintech with strong revenue momentum but thin profitability and elevated leverage. Forward P/E of 8.0x is remarkably cheap for a company guiding $1.4B in 2026 revenue (35%+ growth) with 82.5% gross margins [1][5]. Revenue growth of 34.4% YoY (64% full-year 2025) and 3yr CAGR of ~7% (recovering from a 2023 trough) show accelerating momentum. However, D/E of 237% is elevated due to loans held on balance sheet, ROE of 7.5% is below target, and profit margin of only 5.0% reflects the early-stage profitability profile [5]. Operating cash flow of -$148M and free cash flow of -$275M are concerning — the company is not yet self-funding despite revenue scale. Adjusted EBITDA of $230M (22% margin) is positive but GAAP profitability is thin. The 2025-2028 target of 25% adjusted EBITDA margin and 35% revenue CAGR would dramatically improve infrastructure metrics if achieved [1]. Liquidity floor cleared: 5.2M avg volume × $25.65 = $133M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Upstart under Girouard and Gu demonstrates strong infinite game characteristics — the 14-year founder partnership, carefully planned CEO transition, and consistent mission to democratize credit through AI reflect long-term thinking. The company survived a near-death experience in 2022-2023 (revenue crashed 39%) and emerged stronger, showing resilience. However, the securities fraud probe and reliance on a single technology moat introduce vulnerability.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Upstart's Just Cause — enabling effortless credit based on true risk, replacing the FICO paradigm that excludes creditworthy borrowers — is genuine, distinctive, and has shaped every strategic decision for 14 years [2]. The mission connects lending technology to financial inclusion, and the Cash Line product targeting payday lending alternatives demonstrates the cause in action. The founder-to-founder CEO transition is explicitly designed to sustain this cause for 'another 14 years.' However, the cause hasn't yet survived the multi-decade test that would earn full marks. (2/3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14-year co-founder partnership and Sanjay Datta's 9-year tenure as CFO/President demonstrate deep trust at the leadership level [2]. Girouard established company values in year one that he says remain accurate today, and the CEO transition was described as the most thoroughly considered succession plan imaginable. At 1,405 employees, the company is small enough for cultural cohesion. However, no specific employee retention data or Glassdoor-type evidence is available, and the lean headcount suggests limited organizational depth. (1/2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Upstart explicitly positions itself against FICO and traditional bank underwriting as the paradigm to be improved, not destroyed [2]. The company partners with 100+ banks rather than trying to replace them, demonstrating collaborative competition. The bank charter application shows willingness to enter rivals' territory and compete on their terms while maintaining the AI differentiation. (1/1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Upstart survived a dramatic revenue crash from $838M (2022) to $508M (2023) by evolving from a single-product personal loan marketplace to a multi-product AI lending ecosystem spanning auto, home equity, and small-dollar credit [1][2]. The bank charter application represents a potentially transformative pivot from marketplace model to integrated lender. However, the core AI lending model hasn't fundamentally changed — the flexibility has been in product expansion rather than business model reinvention. (1/2 points)</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Girouard and Gu built Upstart on the courageous bet that AI could outperform FICO — challenging the most entrenched system in consumer finance [2]. When the model faced its toughest test during the 2022-2023 rate cycle (revenue crashed 39%, stock fell 90%+), leadership held the course rather than abandoning the AI thesis, investing through the downturn. The decision to apply for a bank charter in 2026 — adding massive regulatory burden to prove AI lending can operate within the banking system — is another high-conviction long-term bet. The founder-to-founder CEO handoff, planned while the company is thriving, shows patient leadership. (2/2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Upstart delivered a breakout 2025 with revenue surging 64% to over $1B, adjusted EBITDA margin expanding from 2% to 22% ($230M), and a return to GAAP profitability in Q4 ($0.17 EPS vs consensus $0.15) [1]. At 8.0x forward P/E with $1.4B in 2026 guided revenue (beating consensus by 10%), 82.5% gross margins, and a 35% revenue CAGR target through 2028, UPST offers exceptional growth-at-value pricing for an AI-native business [1]. Loan originations surged 86% YoY to 456K in Q4 with $3.2B in volume, and the multi-product expansion into auto, home equity, and Cash Line diversifies the revenue base beyond personal loans [1]. The founder-to-founder CEO transition (Girouard to Gu) maintains the 14-year culture of AI innovation while the bank charter application could structurally reduce costs and regulatory complexity [2].</w:t>
      </w:r>
    </w:p>
    <w:p>
      <w:pPr>
        <w:spacing w:after="120"/>
      </w:pPr>
      <w:r>
        <w:rPr>
          <w:rFonts w:ascii="Calibri" w:hAnsi="Calibri"/>
          <w:b w:val="0"/>
          <w:color w:val="3A4A28"/>
          <w:sz w:val="20"/>
        </w:rPr>
        <w:t>The bear case centers on Upstart's high leverage (D/E 237%), negative operating cash flow (-$148M), and dependence on a single technology moat that could erode as large banks and fintechs deploy competing AI underwriting models [5]. The Pomerantz securities fraud investigation into Model 22 disclosure issues raises governance concerns and potential litigation liability [3]. New CFPB AI transparency requirements and California/Colorado algorithmic bias laws create regulatory headwinds specific to AI lending that traditional lenders do not face [3]. The bank charter application adds significant regulatory burden and capital requirements if approved. Revenue crashed 39% in 2022-2023 during the rate cycle, demonstrating extreme sensitivity to macroeconomic conditions — another rate shock could repeat this pattern. Trailing P/E of 57x (vs 8x forward) highlights the fragility of current profitability, and $1.9B in debt against $658M cash creates meaningful balance sheet risk if growth stalls [5]. Insider selling by multiple officers in February-March 2026 (Datta $238K, Darling $205K) signals near-term caution from insiders despite strong results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2026 revenue guidance of $1.4B (35%+ growth) with auto and home products expected to contribute $100M+ in fee revenue, validating the multi-product expansion strategy [1]</w:t>
      </w:r>
    </w:p>
    <w:p>
      <w:pPr>
        <w:spacing w:before="40" w:after="40"/>
        <w:ind w:left="283"/>
      </w:pPr>
      <w:r>
        <w:rPr>
          <w:rFonts w:ascii="Calibri" w:hAnsi="Calibri"/>
          <w:b/>
          <w:color w:val="4A6B25"/>
          <w:sz w:val="20"/>
        </w:rPr>
        <w:t xml:space="preserve">2. </w:t>
      </w:r>
      <w:r>
        <w:rPr>
          <w:rFonts w:ascii="Calibri" w:hAnsi="Calibri"/>
          <w:b w:val="0"/>
          <w:color w:val="3A4A28"/>
          <w:sz w:val="20"/>
        </w:rPr>
        <w:t>National bank charter approval would structurally reduce funding costs, regulatory complexity, and counterparty risk, transforming Upstart from marketplace to integrated AI lender [2]</w:t>
      </w:r>
    </w:p>
    <w:p>
      <w:pPr>
        <w:spacing w:before="40" w:after="40"/>
        <w:ind w:left="283"/>
      </w:pPr>
      <w:r>
        <w:rPr>
          <w:rFonts w:ascii="Calibri" w:hAnsi="Calibri"/>
          <w:b/>
          <w:color w:val="4A6B25"/>
          <w:sz w:val="20"/>
        </w:rPr>
        <w:t xml:space="preserve">3. </w:t>
      </w:r>
      <w:r>
        <w:rPr>
          <w:rFonts w:ascii="Calibri" w:hAnsi="Calibri"/>
          <w:b w:val="0"/>
          <w:color w:val="3A4A28"/>
          <w:sz w:val="20"/>
        </w:rPr>
        <w:t>Founder-to-founder CEO transition (Gu taking over May 1, 2026) maintains AI-native leadership while Girouard remains as Executive Chairman, ensuring strategic continuity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Securities fraud investigation (Pomerantz LLP) into Model 22 underwriting disclosures could result in litigation, regulatory penalties, and reputational damage to the AI credibility thesis [3]</w:t>
      </w:r>
    </w:p>
    <w:p>
      <w:pPr>
        <w:spacing w:before="40" w:after="40"/>
        <w:ind w:left="283"/>
      </w:pPr>
      <w:r>
        <w:rPr>
          <w:rFonts w:ascii="Calibri" w:hAnsi="Calibri"/>
          <w:b/>
          <w:color w:val="4A6B25"/>
          <w:sz w:val="20"/>
        </w:rPr>
        <w:t xml:space="preserve">2. </w:t>
      </w:r>
      <w:r>
        <w:rPr>
          <w:rFonts w:ascii="Calibri" w:hAnsi="Calibri"/>
          <w:b w:val="0"/>
          <w:color w:val="3A4A28"/>
          <w:sz w:val="20"/>
        </w:rPr>
        <w:t>Macroeconomic sensitivity — revenue crashed 39% in the 2022-2023 rate cycle, and another credit deterioration or rate shock could repeat the pattern given $1.9B debt and negative operating cash flow [5]</w:t>
      </w:r>
    </w:p>
    <w:p>
      <w:pPr>
        <w:spacing w:before="40" w:after="40"/>
        <w:ind w:left="283"/>
      </w:pPr>
      <w:r>
        <w:rPr>
          <w:rFonts w:ascii="Calibri" w:hAnsi="Calibri"/>
          <w:b/>
          <w:color w:val="4A6B25"/>
          <w:sz w:val="20"/>
        </w:rPr>
        <w:t xml:space="preserve">3. </w:t>
      </w:r>
      <w:r>
        <w:rPr>
          <w:rFonts w:ascii="Calibri" w:hAnsi="Calibri"/>
          <w:b w:val="0"/>
          <w:color w:val="3A4A28"/>
          <w:sz w:val="20"/>
        </w:rPr>
        <w:t>AI moat erosion — JPMorgan, Goldman Sachs, and fintech competitors are deploying proprietary AI underwriting models, while CFPB/state regulatory actions on algorithmic bias could constrain Upstart's competitive advantage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(3/9): Upstart's core business IS AI lending — but this cuts both ways. The company faces significant AI disruption risk not because AI threatens it externally, but because AI commoditization could erode its competitive advantage. Major banks (JPM, Goldman) are building proprietary AI underwriting models, and competitors (SoFi, LendingClub) are deploying AI-driven lending platforms [2]. Upstart's edge depends on its models being demonstrably better than alternatives — and the Model 22 controversy, where underwriting issues affected borrower approvals and conversions, illustrates the fragility of an AI-dependent moat [3]. Additionally, the CFPB's increased scrutiny of AI transparency and new state-level algorithmic bias laws in California and Colorado create regulatory risk specific to AI lending [3]. The bank charter application adds regulatory complexity. AI Opportunity (1/1): Upstart generates 100% of its revenue from AI-powered lending, with $1B+ in 2025 revenue directly attributable to AI models that automate 90%+ of loan decisions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Upstart Q4 2025 Earnings Release — $296M revenue (35% YoY), $0.17 EPS, 2026 guidance of $1.4B revenue, February 10, 2026</w:t>
      </w:r>
    </w:p>
    <w:p>
      <w:pPr>
        <w:spacing w:before="20" w:after="20"/>
        <w:ind w:left="170"/>
      </w:pPr>
      <w:r>
        <w:rPr>
          <w:rFonts w:ascii="Calibri" w:hAnsi="Calibri"/>
          <w:b/>
          <w:color w:val="4A6B25"/>
          <w:sz w:val="15"/>
        </w:rPr>
        <w:t xml:space="preserve">2. </w:t>
      </w:r>
      <w:r>
        <w:rPr>
          <w:rFonts w:ascii="Calibri" w:hAnsi="Calibri"/>
          <w:b w:val="0"/>
          <w:color w:val="3A4A28"/>
          <w:sz w:val="17"/>
        </w:rPr>
        <w:t>Upstart leadership transition announcement — Paul Gu to CEO May 1, 2026; AI lending strategy, bank charter application, multi-product expansion, March 2026</w:t>
      </w:r>
    </w:p>
    <w:p>
      <w:pPr>
        <w:spacing w:before="20" w:after="20"/>
        <w:ind w:left="170"/>
      </w:pPr>
      <w:r>
        <w:rPr>
          <w:rFonts w:ascii="Calibri" w:hAnsi="Calibri"/>
          <w:b/>
          <w:color w:val="4A6B25"/>
          <w:sz w:val="15"/>
        </w:rPr>
        <w:t xml:space="preserve">3. </w:t>
      </w:r>
      <w:r>
        <w:rPr>
          <w:rFonts w:ascii="Calibri" w:hAnsi="Calibri"/>
          <w:b w:val="0"/>
          <w:color w:val="3A4A28"/>
          <w:sz w:val="17"/>
        </w:rPr>
        <w:t>FinancialContent/Pomerantz — Upstart at the Crossroads research feature; CFPB AI scrutiny; Model 22 securities fraud probe; California/Colorado AI laws, March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 UPST insider transactions (net selling by officers), accessed March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 UPST key statistics (P/E, Forward P/E, D/E, ROE, margins, cash flow),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