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URG</w:t>
      </w:r>
      <w:r>
        <w:rPr>
          <w:rFonts w:ascii="Calibri" w:hAnsi="Calibri"/>
          <w:b/>
          <w:color w:val="1A2010"/>
          <w:sz w:val="40"/>
        </w:rPr>
        <w:t xml:space="preserve">  Ur-Energy Inc.</w:t>
      </w:r>
    </w:p>
    <w:p>
      <w:pPr>
        <w:spacing w:after="120"/>
      </w:pPr>
      <w:r>
        <w:rPr>
          <w:rFonts w:ascii="Calibri" w:hAnsi="Calibri"/>
          <w:b/>
          <w:color w:val="6E8450"/>
          <w:sz w:val="18"/>
        </w:rPr>
        <w:t>GROWTH SLEEVE · 2026-03-27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United States</w:t>
      </w:r>
    </w:p>
    <w:p>
      <w:pPr>
        <w:spacing w:after="80"/>
      </w:pPr>
      <w:r>
        <w:rPr>
          <w:rFonts w:ascii="Calibri" w:hAnsi="Calibri"/>
          <w:b w:val="0"/>
          <w:color w:val="3A4A28"/>
          <w:sz w:val="20"/>
        </w:rPr>
        <w:t>Ur-Energy is a U.S. uranium mining company operating the Lost Creek in-situ recovery (ISR) facility in Wyoming and developing the Shirley Basin ISR project. The company holds 31.4 million pounds of combined uranium resources and has a delivery schedule of 1.3 million pounds for 2026 across eight sales agreements.</w:t>
      </w:r>
    </w:p>
    <w:p>
      <w:r>
        <w:rPr>
          <w:rFonts w:ascii="Calibri" w:hAnsi="Calibri"/>
          <w:b/>
          <w:color w:val="6E8450"/>
          <w:sz w:val="18"/>
        </w:rPr>
        <w:t>157 Employees · https://www.ur-energy.com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Ur-Energy's ISR mining technique is the lowest-cost, lowest-environmental-impact uranium extraction method, with Lost Creek achieving competitive cash costs of $42.89/lb [1]. The Shirley Basin development demonstrates project execution capability with a 69% IRR and $50/lb all-in cost at current uranium prices [1]. However, ISR uranium mining is a mature technology with limited innovation differentiation between operators, and production of 410,440 lbs in 2025 is small relative to global supply.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Ur-Energy positions itself as a domestic uranium producer supporting U.S. energy security and nuclear power growth — a mission with increasing relevance as data center demand drives nuclear energy interest [1]. With 157 employees managing two facilities, the workforce is lean and focused. However, the company remains pre-profit with a deepening net loss, 19% revenue decline in 2025, and limited public information about corporate culture.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Ur-Energy's financial profile is severely challenged with negative profit margin of -275.3%, negative ROE of -71.2%, and D/E of 109.6% following the $120M convertible note financing in December 2025 [1]. Revenue declined 19% YoY to $27M despite higher uranium prices, and the stock trades at 20.3x forward earnings on speculative profitability projections [2]. The $123.9M cash position provides development runway, but the company has never generated consistent profits and cash costs are sensitive to production volume ramp.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Ur-Energy demonstrates mixed infinite game thinking — the long-term development of Shirley Basin and commitment to domestic uranium production reflect patient resource development, but the company's dependence on external financing, persistent losses, and convertible debt raise questions about sustainable value creation versus financial engineering.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Domestic uranium production for U.S. energy security and nuclear power growth represents a meaningful purpose, especially as nuclear demand increases for AI data centers [1]. The company's environmental stewardship through ISR mining — the lowest-impact extraction method — aligns production with sustainability goals.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157 employees operating Lost Creek and building Shirley Basin, Ur-Energy maintains a focused team executing on a clear operational plan [1]. However, persistent losses and convertible debt overhang create compensation and retention challenges typical of pre-profit mining companies.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Ur-Energy competes with Cameco, Energy Fuels, and other uranium producers for sales contracts and investor capital [1]. The competition drives operational efficiency improvements, though Ur-Energy's scale disadvantage versus Cameco (which produces 20x more uranium) limits competitive leverage.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Shirley Basin development and diversified contract portfolio (23% market-priced) provide production flexibility [1]. The $120M convertible note financing enables Shirley Basin construction without equity dilution at current prices, though conversion would be dilutive at higher share prices.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advance Shirley Basin construction requires conviction in the uranium bull thesis, and the $120M convertible financing was well-timed [1]. However, the company has been slow to achieve profitability despite favorable uranium prices, and 2025 revenue declined 19% despite a 65% production increase.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Ur-Energy offers leveraged exposure to the uranium bull thesis at $1.42/share, with domestic U.S. production increasingly valued as data center demand drives nuclear renaissance [1]. The Shirley Basin project starting production in Q1 2026 doubles the company's operational capacity, and 1.3M-pound delivery schedule at $61+/lb average prices provides revenue visibility. Combined uranium resources of 31.4 million pounds at cash costs of $42-50/lb create significant option value if uranium prices sustain above $80/lb, and the $123.9M cash position funds development without near-term equity dilution [1].</w:t>
      </w:r>
    </w:p>
    <w:p>
      <w:pPr>
        <w:spacing w:after="120"/>
      </w:pPr>
      <w:r>
        <w:rPr>
          <w:rFonts w:ascii="Calibri" w:hAnsi="Calibri"/>
          <w:b w:val="0"/>
          <w:color w:val="3A4A28"/>
          <w:sz w:val="20"/>
        </w:rPr>
        <w:t>The bear case is fundamental — Ur-Energy has never generated consistent profits, revenue declined 19% in 2025 despite higher uranium prices, and the net loss deepened [1]. D/E of 109.6% from the convertible note creates potential dilution overhang, and the 20.3x forward P/E on speculative earnings estimates prices in execution that has not been demonstrated. Uranium prices are volatile and subject to geopolitical supply disruption (Kazakhstan, Canada), enrichment bottlenecks, and policy changes that could compress spot pricing below $60/lb [2]. The ISR production method depends on favorable hydrogeology, and Shirley Basin startup risk could delay revenue contribution beyond Q1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Shirley Basin production startup in Q1 2026 doubling operational capacity and demonstrating the company's ability to develop and operate multiple ISR facilities simultaneously [1]</w:t>
      </w:r>
    </w:p>
    <w:p>
      <w:pPr>
        <w:spacing w:before="40" w:after="40"/>
        <w:ind w:left="283"/>
      </w:pPr>
      <w:r>
        <w:rPr>
          <w:rFonts w:ascii="Calibri" w:hAnsi="Calibri"/>
          <w:b/>
          <w:color w:val="4A6B25"/>
          <w:sz w:val="20"/>
        </w:rPr>
        <w:t xml:space="preserve">2. </w:t>
      </w:r>
      <w:r>
        <w:rPr>
          <w:rFonts w:ascii="Calibri" w:hAnsi="Calibri"/>
          <w:b w:val="0"/>
          <w:color w:val="3A4A28"/>
          <w:sz w:val="20"/>
        </w:rPr>
        <w:t>Uranium price appreciation above $100/lb driven by AI data center nuclear demand, global reactor restarts, and constrained mine supply [1]</w:t>
      </w:r>
    </w:p>
    <w:p>
      <w:pPr>
        <w:spacing w:before="40" w:after="40"/>
        <w:ind w:left="283"/>
      </w:pPr>
      <w:r>
        <w:rPr>
          <w:rFonts w:ascii="Calibri" w:hAnsi="Calibri"/>
          <w:b/>
          <w:color w:val="4A6B25"/>
          <w:sz w:val="20"/>
        </w:rPr>
        <w:t xml:space="preserve">3. </w:t>
      </w:r>
      <w:r>
        <w:rPr>
          <w:rFonts w:ascii="Calibri" w:hAnsi="Calibri"/>
          <w:b w:val="0"/>
          <w:color w:val="3A4A28"/>
          <w:sz w:val="20"/>
        </w:rPr>
        <w:t>U.S. government policy support for domestic uranium production through potential import restrictions, strategic reserve purchases, or HALEU development incentives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Shirley Basin startup delays or cost overruns that could exhaust cash reserves and force dilutive financing before the facility achieves commercial production rates [1]</w:t>
      </w:r>
    </w:p>
    <w:p>
      <w:pPr>
        <w:spacing w:before="40" w:after="40"/>
        <w:ind w:left="283"/>
      </w:pPr>
      <w:r>
        <w:rPr>
          <w:rFonts w:ascii="Calibri" w:hAnsi="Calibri"/>
          <w:b/>
          <w:color w:val="4A6B25"/>
          <w:sz w:val="20"/>
        </w:rPr>
        <w:t xml:space="preserve">2. </w:t>
      </w:r>
      <w:r>
        <w:rPr>
          <w:rFonts w:ascii="Calibri" w:hAnsi="Calibri"/>
          <w:b w:val="0"/>
          <w:color w:val="3A4A28"/>
          <w:sz w:val="20"/>
        </w:rPr>
        <w:t>Uranium price decline below $60/lb would make both Lost Creek and Shirley Basin marginally economic at best, given all-in costs of $43-50/lb [1]</w:t>
      </w:r>
    </w:p>
    <w:p>
      <w:pPr>
        <w:spacing w:before="40" w:after="40"/>
        <w:ind w:left="283"/>
      </w:pPr>
      <w:r>
        <w:rPr>
          <w:rFonts w:ascii="Calibri" w:hAnsi="Calibri"/>
          <w:b/>
          <w:color w:val="4A6B25"/>
          <w:sz w:val="20"/>
        </w:rPr>
        <w:t xml:space="preserve">3. </w:t>
      </w:r>
      <w:r>
        <w:rPr>
          <w:rFonts w:ascii="Calibri" w:hAnsi="Calibri"/>
          <w:b w:val="0"/>
          <w:color w:val="3A4A28"/>
          <w:sz w:val="20"/>
        </w:rPr>
        <w:t>Convertible note conversion dilution — the $120M convertible note could significantly expand the share count at higher stock prices, capping per-share upside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has an indirect positive impact on Ur-Energy through the surging electricity demand from AI data centers driving renewed interest in nuclear power as a reliable baseload energy source [1]. The structural demand growth for uranium from new nuclear builds and SMR development benefits all domestic producers. AI tools can also optimize ISR well-field management and processing efficiency. However, AI disruption risk is negligible for physical mining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Ur-Energy Year-End 2025 Financial Results and Operational Progress, March 10, 2026; Shirley Basin Technical Report 2024</w:t>
      </w:r>
    </w:p>
    <w:p>
      <w:pPr>
        <w:spacing w:before="20" w:after="20"/>
        <w:ind w:left="170"/>
      </w:pPr>
      <w:r>
        <w:rPr>
          <w:rFonts w:ascii="Calibri" w:hAnsi="Calibri"/>
          <w:b/>
          <w:color w:val="4A6B25"/>
          <w:sz w:val="15"/>
        </w:rPr>
        <w:t xml:space="preserve">2. </w:t>
      </w:r>
      <w:r>
        <w:rPr>
          <w:rFonts w:ascii="Calibri" w:hAnsi="Calibri"/>
          <w:b w:val="0"/>
          <w:color w:val="3A4A28"/>
          <w:sz w:val="17"/>
        </w:rPr>
        <w:t>Yahoo Finance — URG key statistics, accessed March 2026; TipRanks — Ur-Energy earnings call analysis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