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USA</w:t>
      </w:r>
      <w:r>
        <w:rPr>
          <w:rFonts w:ascii="Calibri" w:hAnsi="Calibri"/>
          <w:b/>
          <w:color w:val="1A2010"/>
          <w:sz w:val="40"/>
        </w:rPr>
        <w:t xml:space="preserve">  Liberty All-Star Equity Fund</w:t>
      </w:r>
    </w:p>
    <w:p>
      <w:pPr>
        <w:spacing w:after="120"/>
      </w:pPr>
      <w:r>
        <w:rPr>
          <w:rFonts w:ascii="Calibri" w:hAnsi="Calibri"/>
          <w:b/>
          <w:color w:val="6E8450"/>
          <w:sz w:val="18"/>
        </w:rPr>
        <w:t>DIVIDEND SLEEVE · 2026-05-02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Liberty All-Star Equity Fund is a closed-end equity mutual fund that employs a multi-manager approach, allocating assets equally among five independent investment management firms with distinct value and growth styles. Managed by ALPS Advisors, the fund targets approximately 10% annual distributions based on NAV.</w:t>
      </w:r>
    </w:p>
    <w:p>
      <w:r>
        <w:rPr>
          <w:rFonts w:ascii="Calibri" w:hAnsi="Calibri"/>
          <w:b/>
          <w:color w:val="6E8450"/>
          <w:sz w:val="18"/>
        </w:rPr>
        <w:t>https://www.all-starfunds.com/usa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multi-manager approach combining three value-style and two growth-style managers (Aristotle, Fiduciary Management, Pzena, Sustainable Growth Advisers, TCW) is a differentiated structure but not innovative — this model has been used since the fund's 1986 inception [1]. Top holdings include NVIDIA (5.0%), Microsoft (4.5%), and Alphabet (4.1%), reflecting standard large-cap equity exposure [2]. No proprietary investment technology or unique market access distinguishes this fund from passive alternatives.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closed-end fund with no employees, USA lacks a traditional corporate culture or inspirational mission beyond delivering shareholder returns [1]. The multi-manager structure relies on external teams at five sub-advisory firms, creating an arm's-length relationship with no unified organizational purpose. The fund has maintained its distribution policy for decades, demonstrating commitment to income investors, but this is operational consistency rather than inspirational leadership.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fund trades at a 9% discount to NAV ($5.99 market vs $6.58 NAV as of Feb 2026), which is structurally typical for closed-end funds [3]. Revenue grew 5.5% in 2025 to $30.3M but earnings declined 34.2% to $167.9M [4]. The 10% NAV-based distribution policy provides a ~10% yield. D/E of 5.2% reflects minimal leverage. P/E of 10.4 is reasonable. Liquidity floor met: 1.17M avg volume × $5.83 = $6.8M daily [5]. YTD NAV return of +8.0% vs market price return of -2.5% highlights persistent discount dynamics.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Liberty All-Star Equity Fund has operated for nearly 40 years with a consistent multi-manager philosophy and predictable distribution policy, demonstrating institutional longevity. However, as a closed-end fund vehicle, it lacks the organizational dynamism, purpose-driven culture, or strategic adaptability that characterizes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fund's purpose is delivering diversified equity exposure with income — a legitimate financial objective but not a transcendent cause [1]. The 10% NAV distribution policy serves income investors reliably but reflects a mechanical commitment rather than an inspiring vision. No broader stakeholder mission beyond shareholder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multi-manager model delegates portfolio decisions to five established investment firms with experienced teams (Howard Gleicher at Aristotle, Richard Pzena at Pzena, etc.), each with proven long-term track records [2]. ALPS Advisors provides oversight and monitoring. This distributed trust model works but creates no unified team identity.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fund competes against low-cost index funds (SPY, VOO) and other closed-end equity funds. Including both value and growth managers demonstrates awareness of market regime changes, but the persistent NAV discount suggests the market views passive alternatives as worthy rivals that USA has not adequately answered [1][4].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fund has rotated sub-advisors over its 38-year history, demonstrating willingness to change managers when performance deteriorates [1]. However, the closed-end fund structure itself cannot evolve — it cannot convert to an ETF, change its distribution policy materially, or pivot to new asset classes without shareholder votes, limiting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Maintaining a consistent 10% distribution through market cycles requires discipline, and the board has sustained this policy through multiple bear markets over nearly four decades [1]. However, this represents adherence to tradition rather than courageous leadership — no bold strategic decisions or market-shaping moves are evident in the fund's recent history.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All-Star Equity Fund offers a ~10% distribution yield through a multi-manager closed-end fund structure that has operated since 1986. The fund provides diversified large-cap equity exposure through five sub-advisors spanning value and growth styles, with top holdings in mega-cap technology names (NVIDIA, Microsoft, Alphabet).</w:t>
      </w:r>
    </w:p>
    <w:p>
      <w:pPr>
        <w:spacing w:after="120"/>
      </w:pPr>
      <w:r>
        <w:rPr>
          <w:rFonts w:ascii="Calibri" w:hAnsi="Calibri"/>
          <w:b w:val="0"/>
          <w:color w:val="3A4A28"/>
          <w:sz w:val="20"/>
        </w:rPr>
        <w:t>The fund currently trades at a ~9% discount to NAV, which could narrow if market sentiment improves or activist investors push for structural changes. However, the persistent discount reflects the market's assessment that a 1%+ expense ratio plus sub-advisory fees is excessive for equity exposure available through near-zero-cost index ETFs. The distribution policy is NAV-linked (not earnings-linked), meaning payouts can include return of capital in weak markets, eroding NAV over time. Suitable primarily for income-focused investors who value monthly distributions over total return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NAV discount narrowing from current 9% toward par if equity markets rally and closed-end fund sentiment improves</w:t>
      </w:r>
    </w:p>
    <w:p>
      <w:pPr>
        <w:spacing w:before="40" w:after="40"/>
        <w:ind w:left="283"/>
      </w:pPr>
      <w:r>
        <w:rPr>
          <w:rFonts w:ascii="Calibri" w:hAnsi="Calibri"/>
          <w:b/>
          <w:color w:val="4A6B25"/>
          <w:sz w:val="20"/>
        </w:rPr>
        <w:t xml:space="preserve">2. </w:t>
      </w:r>
      <w:r>
        <w:rPr>
          <w:rFonts w:ascii="Calibri" w:hAnsi="Calibri"/>
          <w:b w:val="0"/>
          <w:color w:val="3A4A28"/>
          <w:sz w:val="20"/>
        </w:rPr>
        <w:t>Strong 2026 equity market performance would increase NAV-based distributions automatically under the 10% policy</w:t>
      </w:r>
    </w:p>
    <w:p>
      <w:pPr>
        <w:spacing w:before="40" w:after="40"/>
        <w:ind w:left="283"/>
      </w:pPr>
      <w:r>
        <w:rPr>
          <w:rFonts w:ascii="Calibri" w:hAnsi="Calibri"/>
          <w:b/>
          <w:color w:val="4A6B25"/>
          <w:sz w:val="20"/>
        </w:rPr>
        <w:t xml:space="preserve">3. </w:t>
      </w:r>
      <w:r>
        <w:rPr>
          <w:rFonts w:ascii="Calibri" w:hAnsi="Calibri"/>
          <w:b w:val="0"/>
          <w:color w:val="3A4A28"/>
          <w:sz w:val="20"/>
        </w:rPr>
        <w:t>Potential sub-advisor changes could inject fresh alpha generation into underperforming style buckets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NAV discount may widen further as low-cost ETF alternatives continue gaining market share</w:t>
      </w:r>
    </w:p>
    <w:p>
      <w:pPr>
        <w:spacing w:before="40" w:after="40"/>
        <w:ind w:left="283"/>
      </w:pPr>
      <w:r>
        <w:rPr>
          <w:rFonts w:ascii="Calibri" w:hAnsi="Calibri"/>
          <w:b/>
          <w:color w:val="4A6B25"/>
          <w:sz w:val="20"/>
        </w:rPr>
        <w:t xml:space="preserve">2. </w:t>
      </w:r>
      <w:r>
        <w:rPr>
          <w:rFonts w:ascii="Calibri" w:hAnsi="Calibri"/>
          <w:b w:val="0"/>
          <w:color w:val="3A4A28"/>
          <w:sz w:val="20"/>
        </w:rPr>
        <w:t>Distribution includes return of capital in weak years, gradually eroding underlying NAV per share</w:t>
      </w:r>
    </w:p>
    <w:p>
      <w:pPr>
        <w:spacing w:before="40" w:after="40"/>
        <w:ind w:left="283"/>
      </w:pPr>
      <w:r>
        <w:rPr>
          <w:rFonts w:ascii="Calibri" w:hAnsi="Calibri"/>
          <w:b/>
          <w:color w:val="4A6B25"/>
          <w:sz w:val="20"/>
        </w:rPr>
        <w:t xml:space="preserve">3. </w:t>
      </w:r>
      <w:r>
        <w:rPr>
          <w:rFonts w:ascii="Calibri" w:hAnsi="Calibri"/>
          <w:b w:val="0"/>
          <w:color w:val="3A4A28"/>
          <w:sz w:val="20"/>
        </w:rPr>
        <w:t>Earnings declined 34% YoY in 2025 despite revenue growth, indicating investment losses in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fund-of-managers vehicle, USA faces indirect AI disruption through two channels: (1) the secular shift from active to passive/algorithmic management threatens the multi-manager fee structure, and (2) AI-powered robo-advisors increasingly replicate diversified equity exposure at lower cost [1]. However, the fund's closed-end structure with fixed share count provides some insulation — no redemption pressure like open-end funds. The persistent NAV discount partly reflects this structural headwind from cheaper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All-Star Funds Corporate Website — Fund Overview and Strategy, accessed May 2026</w:t>
      </w:r>
    </w:p>
    <w:p>
      <w:pPr>
        <w:spacing w:before="20" w:after="20"/>
        <w:ind w:left="170"/>
      </w:pPr>
      <w:r>
        <w:rPr>
          <w:rFonts w:ascii="Calibri" w:hAnsi="Calibri"/>
          <w:b/>
          <w:color w:val="4A6B25"/>
          <w:sz w:val="15"/>
        </w:rPr>
        <w:t xml:space="preserve">2. </w:t>
      </w:r>
      <w:r>
        <w:rPr>
          <w:rFonts w:ascii="Calibri" w:hAnsi="Calibri"/>
          <w:b w:val="0"/>
          <w:color w:val="3A4A28"/>
          <w:sz w:val="17"/>
        </w:rPr>
        <w:t>Liberty All-Star Equity Fund March 2026 Monthly Update, Business Wire, April 2026</w:t>
      </w:r>
    </w:p>
    <w:p>
      <w:pPr>
        <w:spacing w:before="20" w:after="20"/>
        <w:ind w:left="170"/>
      </w:pPr>
      <w:r>
        <w:rPr>
          <w:rFonts w:ascii="Calibri" w:hAnsi="Calibri"/>
          <w:b/>
          <w:color w:val="4A6B25"/>
          <w:sz w:val="15"/>
        </w:rPr>
        <w:t xml:space="preserve">3. </w:t>
      </w:r>
      <w:r>
        <w:rPr>
          <w:rFonts w:ascii="Calibri" w:hAnsi="Calibri"/>
          <w:b w:val="0"/>
          <w:color w:val="3A4A28"/>
          <w:sz w:val="17"/>
        </w:rPr>
        <w:t>Liberty All-Star Equity Fund January 2026 Monthly Update — NAV $6.58, 9.0% discount, February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USA financial data and earnings history, accessed May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USA key statistics,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