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USBC</w:t>
      </w:r>
      <w:r>
        <w:rPr>
          <w:rFonts w:ascii="Calibri" w:hAnsi="Calibri"/>
          <w:b/>
          <w:color w:val="1A2010"/>
          <w:sz w:val="40"/>
        </w:rPr>
        <w:t xml:space="preserve">  USBC, Inc.</w:t>
      </w:r>
    </w:p>
    <w:p>
      <w:pPr>
        <w:spacing w:after="120"/>
      </w:pPr>
      <w:r>
        <w:rPr>
          <w:rFonts w:ascii="Calibri" w:hAnsi="Calibri"/>
          <w:b/>
          <w:color w:val="6E8450"/>
          <w:sz w:val="18"/>
        </w:rPr>
        <w:t>GROWTH SLEEVE · 2026-04-26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American · United States</w:t>
      </w:r>
    </w:p>
    <w:p>
      <w:pPr>
        <w:spacing w:after="80"/>
      </w:pPr>
      <w:r>
        <w:rPr>
          <w:rFonts w:ascii="Calibri" w:hAnsi="Calibri"/>
          <w:b w:val="0"/>
          <w:color w:val="3A4A28"/>
          <w:sz w:val="20"/>
        </w:rPr>
        <w:t>USBC, Inc. (formerly Know Labs, Inc.) is a micro-cap company that pivoted in August 2025 from non-invasive health monitoring technology to digital financial services. The company develops the USBC deposit token, a blockchain-based tokenized deposit embedded with digital identity, and maintains a Bitcoin treasury strategy. It has no meaningful revenue and is led by CEO Greg Kidd, former Ripple Chief Risk Officer.</w:t>
      </w:r>
    </w:p>
    <w:p>
      <w:r>
        <w:rPr>
          <w:rFonts w:ascii="Calibri" w:hAnsi="Calibri"/>
          <w:b/>
          <w:color w:val="6E8450"/>
          <w:sz w:val="18"/>
        </w:rPr>
        <w:t>11 Employees · https://investors.usbc.xyz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USBC has no successful product launches or business model transformations — the company pivoted entirely from health monitoring (Know Labs) to digital assets/fintech in August 2025 via a $125M strategic acquisition by Goldeneye 1995 LLC, abandoning its prior technology without commercial validation [1][2]. Revenue was $4.4M in FY2022 and has since fallen to zero [5]. AI Deployment (0/2): No AI products shipping and no AI-driven cost savings or revenue reported [5]. Market Share (1/2): The USBC deposit token concept positions the company in the emerging tokenized deposit space, but the company has no market share, no revenue, and no commercial product yet [2]. Pipeline (1/2): The USBC token and Bitcoin treasury strategy represent a pipeline, but timelines are vague and there is no revenue visibility [2]. R&amp;D Intensity (0/1): R&amp;D spending collapsed from $6.1M (FY2024) to $1.8M (FY2025) as the company pivoted away from health monitoring technology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USBC's stated focus on 'identity, inclusion, innovation, and risk management' is generic corporate boilerplate that could apply to any fintech company [2]. The mission does not articulate a distinctive vision of a better future. Community Impact (0/2): No evidence of charitable programs or community investment from an 11-employee company with no revenue [5]. Employee Retention (0/2): The company has only 11 employees following a complete leadership and strategic overhaul in August 2025; no retention data exists for the current iteration [5]. Insider Buying (1/2): CEO Greg Kidd's $125M acquisition via Goldeneye 1995 LLC represents significant financial commitment, and stock awards were granted to officers and directors, though no open-market buying was identified [1][5].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1.14M shares × $0.37 price = $426,531, which is below the $1,000,000 minimum liquidity threshold [5]. The stock is too illiquid for IOWN to trade. Underlying fundamentals are also deeply distressed: zero revenue (down from $4.4M in FY2022), net loss of $22.1M in FY2025, trailing EPS of -$0.39, and the company is entirely pre-revenue in its new fintech incarnation [5]. The only positive metric is low D/E of 0.35%, but this is meaningless for a company with no revenue and massive operating losses. Market cap of $145M is supported by speculative interest in the USBC token concept and Bitcoin treasury rather than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USBC under Greg Kidd (since August 2025) is playing an overtly finite game — the company completely abandoned its prior health monitoring technology to chase the digital assets/tokenized deposit trend, optimizing for speculative market interest rather than building enduring value. The Bitcoin treasury strategy and token-centric business model prioritize short-term narrative over long-term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USBC's articulated focus on 'identity, inclusion, innovation, and risk management' is marketing language, not a Just Cause [2]. The company abandoned its previous purpose (non-invasive health monitoring) entirely when new ownership took control. A genuine Just Cause survives leadership transitions — USBC's cause changed completely with the acquisition. The pivot to tokenized deposits reflects financial opportunity, not a vision of a better future.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entire leadership team was replaced in August 2025 as part of the $125M acquisition — CEO Greg Kidd, COO Kirk Chapman, CFO Kitty Payne, and Vice Chair Linda Jenkinson are all new [1][2]. With only 11 employees and a complete organizational overhaul less than a year ago, there is no basis to evaluate trust or team culture. The prior Know Labs team was effectively displaced.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USBC positions itself in the tokenized deposit space without acknowledging established competitors in digital banking (e.g., Circle, Paxos) or identifying specific rivals whose strengths could drive improvement. The company's messaging focuses on its own vision rather than competitive learning [2].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health monitoring (Know Labs) to digital financial services (USBC) is technically a dramatic strategic shift, but it was driven by new ownership rather than organic strategic evolution in service of an enduring cause [1][2]. This looks more like an acquisition vehicle than genuine existential flexibility — the original company didn't choose to evolve; it was purchased and redirected.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Greg Kidd committed $125M via Goldeneye 1995 LLC to acquire controlling interest, which represents financial conviction [1]. However, the Bitcoin treasury strategy and token-centric model are trend-following rather than courageous long-term bets. There is no evidence of leadership sacrificing near-term results for long-term capability — the company has no results to sacrifice.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USBC, Inc. is a speculative micro-cap ($145M market cap) that underwent a complete corporate transformation in August 2025 when Greg Kidd's Goldeneye 1995 LLC acquired a controlling interest for $125M, renaming Know Labs to USBC and pivoting from health monitoring to digital financial services [1][2]. The company is developing the USBC deposit token — a blockchain-based tokenized deposit with digital identity — and has adopted a Bitcoin treasury strategy. Greg Kidd's credentials as former Ripple Chief Risk Officer provide credibility in the digital assets space, and the company's low D/E of 0.35% suggests manageable debt [5]. The stock has declined 93% from its 52-week high of $5.36 to $0.37.</w:t>
      </w:r>
    </w:p>
    <w:p>
      <w:pPr>
        <w:spacing w:after="120"/>
      </w:pPr>
      <w:r>
        <w:rPr>
          <w:rFonts w:ascii="Calibri" w:hAnsi="Calibri"/>
          <w:b w:val="0"/>
          <w:color w:val="3A4A28"/>
          <w:sz w:val="20"/>
        </w:rPr>
        <w:t>The bear case is overwhelming for a fundamental investor. USBC generates zero revenue — down from $4.4M when it was Know Labs in FY2022 — and lost $22.1M in FY2025 with only 11 employees [5]. The company has no commercial product, no customers, and no revenue visibility in its new fintech direction. The liquidity floor test fails ($426K daily dollar volume vs. $1M minimum), making the stock unsuitable for institutional investment. R&amp;D spending collapsed 71% from $6.1M to $1.8M, suggesting the company is not investing meaningfully in technology development [5]. The Bitcoin treasury strategy introduces cryptocurrency volatility into an already speculative equity. Share dilution is extreme — diluted shares outstanding grew from ~1M (FY2022) to 63M (FY2025). The $125M acquisition price appears disconnected from any fundamental value the company generates. This is a speculative vehicle, not an operating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Launch of the USBC deposit token as a commercial product, generating first revenue from the new fintech strategy and validating the $125M acquisition thesis [2]</w:t>
      </w:r>
    </w:p>
    <w:p>
      <w:pPr>
        <w:spacing w:before="40" w:after="40"/>
        <w:ind w:left="283"/>
      </w:pPr>
      <w:r>
        <w:rPr>
          <w:rFonts w:ascii="Calibri" w:hAnsi="Calibri"/>
          <w:b/>
          <w:color w:val="4A6B25"/>
          <w:sz w:val="20"/>
        </w:rPr>
        <w:t xml:space="preserve">2. </w:t>
      </w:r>
      <w:r>
        <w:rPr>
          <w:rFonts w:ascii="Calibri" w:hAnsi="Calibri"/>
          <w:b w:val="0"/>
          <w:color w:val="3A4A28"/>
          <w:sz w:val="20"/>
        </w:rPr>
        <w:t>Bitcoin treasury appreciation — if Bitcoin prices rise, USBC's treasury reserves could increase in value and fund operations [2]</w:t>
      </w:r>
    </w:p>
    <w:p>
      <w:pPr>
        <w:spacing w:before="40" w:after="40"/>
        <w:ind w:left="283"/>
      </w:pPr>
      <w:r>
        <w:rPr>
          <w:rFonts w:ascii="Calibri" w:hAnsi="Calibri"/>
          <w:b/>
          <w:color w:val="4A6B25"/>
          <w:sz w:val="20"/>
        </w:rPr>
        <w:t xml:space="preserve">3. </w:t>
      </w:r>
      <w:r>
        <w:rPr>
          <w:rFonts w:ascii="Calibri" w:hAnsi="Calibri"/>
          <w:b w:val="0"/>
          <w:color w:val="3A4A28"/>
          <w:sz w:val="20"/>
        </w:rPr>
        <w:t>Greg Kidd's industry connections from Ripple could accelerate partnerships with established financial institutions for token distribution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with $22.1M annual losses and only 11 employees — the company is a pre-revenue speculative vehicle with no proven business model in its new fintech direction [5]</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at $426K daily dollar volume — the stock is too illiquid for institutional investment and subject to volatile price swings on minimal trading activity [5]</w:t>
      </w:r>
    </w:p>
    <w:p>
      <w:pPr>
        <w:spacing w:before="40" w:after="40"/>
        <w:ind w:left="283"/>
      </w:pPr>
      <w:r>
        <w:rPr>
          <w:rFonts w:ascii="Calibri" w:hAnsi="Calibri"/>
          <w:b/>
          <w:color w:val="4A6B25"/>
          <w:sz w:val="20"/>
        </w:rPr>
        <w:t xml:space="preserve">3. </w:t>
      </w:r>
      <w:r>
        <w:rPr>
          <w:rFonts w:ascii="Calibri" w:hAnsi="Calibri"/>
          <w:b w:val="0"/>
          <w:color w:val="3A4A28"/>
          <w:sz w:val="20"/>
        </w:rPr>
        <w:t>Extreme dilution risk — shares outstanding grew from ~1M to 63M in three years, and continued cash burn will likely require additional equity issuance, further diluting shareholders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USBC's planned digital assets and tokenized deposit business faces moderate AI exposure. While blockchain infrastructure itself is not directly threatened by AI, AI-powered fintech competitors (robo-advisors, AI-driven trading platforms, AI fraud detection) could outcompete USBC's nascent offerings before they reach market [2]. The company has no established moat — no revenue, no customer base, no proprietary technology in its new fintech direction. The prior Know Labs health monitoring IP may have had more defensibility. AI Opportunity (1/1): The company's USBC token platform could potentially integrate AI for identity verification and risk management, and Greg Kidd's background in identity technology (former Ripple CRO) suggests awareness of AI applications, though no AI revenue exists today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Greg Kidd &amp; Know Labs Announce Closing of $125M Strategic Acquisition — Goldeneye 1995 LLC controlling interest, August 2025</w:t>
      </w:r>
    </w:p>
    <w:p>
      <w:pPr>
        <w:spacing w:before="20" w:after="20"/>
        <w:ind w:left="170"/>
      </w:pPr>
      <w:r>
        <w:rPr>
          <w:rFonts w:ascii="Calibri" w:hAnsi="Calibri"/>
          <w:b/>
          <w:color w:val="4A6B25"/>
          <w:sz w:val="15"/>
        </w:rPr>
        <w:t xml:space="preserve">2. </w:t>
      </w:r>
      <w:r>
        <w:rPr>
          <w:rFonts w:ascii="Calibri" w:hAnsi="Calibri"/>
          <w:b w:val="0"/>
          <w:color w:val="3A4A28"/>
          <w:sz w:val="17"/>
        </w:rPr>
        <w:t>USBC Announces Completion of Corporate Name and Ticker Change — USBC token strategy, Bitcoin treasury, August 2025</w:t>
      </w:r>
    </w:p>
    <w:p>
      <w:pPr>
        <w:spacing w:before="20" w:after="20"/>
        <w:ind w:left="170"/>
      </w:pPr>
      <w:r>
        <w:rPr>
          <w:rFonts w:ascii="Calibri" w:hAnsi="Calibri"/>
          <w:b/>
          <w:color w:val="4A6B25"/>
          <w:sz w:val="15"/>
        </w:rPr>
        <w:t xml:space="preserve">3. </w:t>
      </w:r>
      <w:r>
        <w:rPr>
          <w:rFonts w:ascii="Calibri" w:hAnsi="Calibri"/>
          <w:b w:val="0"/>
          <w:color w:val="3A4A28"/>
          <w:sz w:val="17"/>
        </w:rPr>
        <w:t>USBC, Inc. Investor Relations — company overview and news releases,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Seeking Alpha — USBC company profile and financial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USBC (USBC Inc.),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