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USB</w:t>
      </w:r>
      <w:r>
        <w:rPr>
          <w:rFonts w:ascii="Calibri" w:hAnsi="Calibri"/>
          <w:b/>
          <w:color w:val="1A2010"/>
          <w:sz w:val="40"/>
        </w:rPr>
        <w:t xml:space="preserve">  U.S. Bancorp</w:t>
      </w:r>
    </w:p>
    <w:p>
      <w:pPr>
        <w:spacing w:after="120"/>
      </w:pPr>
      <w:r>
        <w:rPr>
          <w:rFonts w:ascii="Calibri" w:hAnsi="Calibri"/>
          <w:b/>
          <w:color w:val="6E8450"/>
          <w:sz w:val="18"/>
        </w:rPr>
        <w:t>DIVIDEND SLEEVE · 2026-03-27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U.S. Bancorp is a financial services holding company with $692 billion in assets, providing consumer banking, business banking, commercial banking, institutional banking, payments, and wealth management services. It is the fifth-largest U.S. bank and was named one of Fortune's most admired superregional banks.</w:t>
      </w:r>
    </w:p>
    <w:p>
      <w:r>
        <w:rPr>
          <w:rFonts w:ascii="Calibri" w:hAnsi="Calibri"/>
          <w:b/>
          <w:color w:val="6E8450"/>
          <w:sz w:val="18"/>
        </w:rPr>
        <w:t>68,520 Employees · https://www.usbank.com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USB's AI Center of Excellence has deployed over 220 AI use cases across the enterprise, from treasury management to client servicing, with a disciplined 'measure twice, cut once' philosophy that prioritizes measurable ROI [2]. The BTIG acquisition adds $175M-$200M in quarterly fee revenue and expands capital markets capabilities, demonstrating strategic innovation through M&amp;A [1]. Fee revenue grew 9.5% YoY driven by strength across payments, institutional, and consumer businesses, with CEO Kedia's focus on agentic AI positioning the bank for next-generation client interfaces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Gunjan Kedia, appointed April 2025, brings a 'strategic acumen, client focus and ability to drive business performance' orientation praised by the board [2]. USB's culture earned Fortune's 'most admired superregional bank' recognition, and the company maintains partnerships like GRID Alternatives serving underserved communities since 2010 [3]. Kedia's appointment as the first woman CEO of a top-5 U.S. bank signals progressive leadership, though the transition from longtime CEO Cecere is still early.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USB delivered record net revenues of $28.7B in 2025 with 22% annual revenue growth, 18.4% return on tangible common equity, and an efficiency ratio of 57.4% [1]. Forward P/E of 9.3 is attractively valued for a bank generating 28.7% profit margins. The dividend yield of 3.99% with a 44.2% payout ratio is well-covered, and management guides 4-6% net revenue growth for 2026 with positive operating leverage of 200+ bps [1]. D/E data is unavailable for banks, but CET1 ratios are healthy.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USB demonstrates infinite game characteristics through its long institutional history, disciplined AI adoption philosophy, and new CEO's long-term digital transformation vision. However, quarterly earnings pressure and the competitive banking environment create inherent finite tensions around NIM optimization and cost efficiency.</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USB's purpose centers on financial empowerment for individuals and businesses, with a $50B environmental finance goal through 2030 and community partnerships serving underserved populations [3]. CEO Kedia's 'long-term perspective' emphasis signals infinite orientation, though the cause is broadly stated rather than uniquely differentiated from peer banks.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Kedia was promoted internally after joining in 2016, suggesting trust in developing talent from within [2]. The company maintains leadership development programs and filled the CEO role through planned succession. 68,520 employees across a complex organization suggest significant management capability, though the recent COO retirement signals ongoing leadership evolution.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USB competes against JPMorgan, Bank of America, and Wells Fargo while also facing fintech challengers. The company's disciplined AI approach ('measure twice, cut once') explicitly contrasts with Tier-1 peers' 'high-spend, experimental approaches,' showing self-awareness about competitive positioning [2]. The BTIG acquisition to enter capital markets shows learning from rivals' revenue diversification.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USB has evolved from a traditional regional bank to a payments and wealth management leader, with the Union Bank acquisition and now BTIG expanding capabilities [1]. The move from defensive posture (2023 banking tremors) to 'high-growth offense' with 18% YoY asset growth demonstrates strategic adaptability. CEO Kedia's tech-centric priorities suggest willingness to transform the operating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USB delivered 440 bps of positive operating leverage in 2025 while maintaining stable expenses over nine consecutive quarters — discipline that requires courage to sustain [1]. The company's transparent acknowledgment of AI risks (flawed algorithms, biased datasets) in its annual report shows proactive risk management culture rather than AI hype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U.S. Bancorp offers a compelling combination of value (9.3x forward P/E) and growth (4-6% revenue guidance with 200+ bps operating leverage) following record 2025 results with $28.7B in net revenues and 22% growth [1]. The new CEO Gunjan Kedia brings a tech-centric, digitally forward vision with 220+ AI use cases already deployed, while the BTIG acquisition expands fee-based capital markets revenue [1][2]. With a well-covered 4% dividend yield, 38M+ brokerage accounts, and $12T+ client assets, USB is positioned for sustained earnings momentum from NIM expansion and fee revenue growth.</w:t>
      </w:r>
    </w:p>
    <w:p>
      <w:pPr>
        <w:spacing w:after="120"/>
      </w:pPr>
      <w:r>
        <w:rPr>
          <w:rFonts w:ascii="Calibri" w:hAnsi="Calibri"/>
          <w:b w:val="0"/>
          <w:color w:val="3A4A28"/>
          <w:sz w:val="20"/>
        </w:rPr>
        <w:t>The bear case centers on the pace of client cash recovery, which Morningstar flagged as 'sluggish' despite overall strong results [1]. USB's exposure to commercial real estate remains a concern if office vacancies worsen, and the path to a 3% NIM target by 2027 depends on the interest rate environment. The company also faces intensifying competition from both megabanks expanding into wealth management and fintechs capturing younger demographics. Regulatory capital requirements could limit capital return flexibility if stress test outcomes tighten.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BTIG acquisition expected to add $175M-$200M in quarterly fee revenue with no impact on planned share buybacks, accretive within 12 months [1]</w:t>
      </w:r>
    </w:p>
    <w:p>
      <w:pPr>
        <w:spacing w:before="40" w:after="40"/>
        <w:ind w:left="283"/>
      </w:pPr>
      <w:r>
        <w:rPr>
          <w:rFonts w:ascii="Calibri" w:hAnsi="Calibri"/>
          <w:b/>
          <w:color w:val="4A6B25"/>
          <w:sz w:val="20"/>
        </w:rPr>
        <w:t xml:space="preserve">2. </w:t>
      </w:r>
      <w:r>
        <w:rPr>
          <w:rFonts w:ascii="Calibri" w:hAnsi="Calibri"/>
          <w:b w:val="0"/>
          <w:color w:val="3A4A28"/>
          <w:sz w:val="20"/>
        </w:rPr>
        <w:t>Path to 3% net interest margin by 2027 from current expanding levels, driven by balance sheet optimization and rate environment [1]</w:t>
      </w:r>
    </w:p>
    <w:p>
      <w:pPr>
        <w:spacing w:before="40" w:after="40"/>
        <w:ind w:left="283"/>
      </w:pPr>
      <w:r>
        <w:rPr>
          <w:rFonts w:ascii="Calibri" w:hAnsi="Calibri"/>
          <w:b/>
          <w:color w:val="4A6B25"/>
          <w:sz w:val="20"/>
        </w:rPr>
        <w:t xml:space="preserve">3. </w:t>
      </w:r>
      <w:r>
        <w:rPr>
          <w:rFonts w:ascii="Calibri" w:hAnsi="Calibri"/>
          <w:b w:val="0"/>
          <w:color w:val="3A4A28"/>
          <w:sz w:val="20"/>
        </w:rPr>
        <w:t>220+ AI use cases driving measurable cost savings and efficiency gains, with agentic AI scouting underway for next-generation client interfaces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Client cash sorting headwinds remain — deposits shifting from low-cost accounts to higher-yielding instruments could pressure NIM expansion pace [1]</w:t>
      </w:r>
    </w:p>
    <w:p>
      <w:pPr>
        <w:spacing w:before="40" w:after="40"/>
        <w:ind w:left="283"/>
      </w:pPr>
      <w:r>
        <w:rPr>
          <w:rFonts w:ascii="Calibri" w:hAnsi="Calibri"/>
          <w:b/>
          <w:color w:val="4A6B25"/>
          <w:sz w:val="20"/>
        </w:rPr>
        <w:t xml:space="preserve">2. </w:t>
      </w:r>
      <w:r>
        <w:rPr>
          <w:rFonts w:ascii="Calibri" w:hAnsi="Calibri"/>
          <w:b w:val="0"/>
          <w:color w:val="3A4A28"/>
          <w:sz w:val="20"/>
        </w:rPr>
        <w:t>Commercial real estate exposure in a weakening office market could require elevated loan loss provisions if vacancy rates continue rising</w:t>
      </w:r>
    </w:p>
    <w:p>
      <w:pPr>
        <w:spacing w:before="40" w:after="40"/>
        <w:ind w:left="283"/>
      </w:pPr>
      <w:r>
        <w:rPr>
          <w:rFonts w:ascii="Calibri" w:hAnsi="Calibri"/>
          <w:b/>
          <w:color w:val="4A6B25"/>
          <w:sz w:val="20"/>
        </w:rPr>
        <w:t xml:space="preserve">3. </w:t>
      </w:r>
      <w:r>
        <w:rPr>
          <w:rFonts w:ascii="Calibri" w:hAnsi="Calibri"/>
          <w:b w:val="0"/>
          <w:color w:val="3A4A28"/>
          <w:sz w:val="20"/>
        </w:rPr>
        <w:t>New CEO transition risk as Kedia implements her 'Schwab 2.0'-style digital transformation while maintaining USB's conservative risk culture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Banking is structurally protected by regulatory barriers, capital requirements, and trust-based relationships that AI cannot replicate [2]. USB is leveraging AI offensively with 220+ use cases across lead conversion, customer engagement, and operational efficiency, creating competitive advantages rather than facing disruption [2]. The company's data advantage from 38M+ brokerage-style accounts and $692B in assets creates a proprietary training dataset that smaller fintechs cannot match. CEO Kedia explicitly scouts 'agentic AI' applications for next-generation client interfaces.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U.S. Bancorp Q4 2025 Earnings Release and 2026 Guidance, January 2026</w:t>
      </w:r>
    </w:p>
    <w:p>
      <w:pPr>
        <w:spacing w:before="20" w:after="20"/>
        <w:ind w:left="170"/>
      </w:pPr>
      <w:r>
        <w:rPr>
          <w:rFonts w:ascii="Calibri" w:hAnsi="Calibri"/>
          <w:b/>
          <w:color w:val="4A6B25"/>
          <w:sz w:val="15"/>
        </w:rPr>
        <w:t xml:space="preserve">2. </w:t>
      </w:r>
      <w:r>
        <w:rPr>
          <w:rFonts w:ascii="Calibri" w:hAnsi="Calibri"/>
          <w:b w:val="0"/>
          <w:color w:val="3A4A28"/>
          <w:sz w:val="17"/>
        </w:rPr>
        <w:t>U.S. Bancorp AI Strategy analysis and CEO Gunjan Kedia commentary,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U.S. Bancorp Corporate Responsibility Report 2023 and sustainability programs</w:t>
      </w:r>
    </w:p>
    <w:p>
      <w:pPr>
        <w:spacing w:before="20" w:after="20"/>
        <w:ind w:left="170"/>
      </w:pPr>
      <w:r>
        <w:rPr>
          <w:rFonts w:ascii="Calibri" w:hAnsi="Calibri"/>
          <w:b/>
          <w:color w:val="4A6B25"/>
          <w:sz w:val="15"/>
        </w:rPr>
        <w:t xml:space="preserve">4. </w:t>
      </w:r>
      <w:r>
        <w:rPr>
          <w:rFonts w:ascii="Calibri" w:hAnsi="Calibri"/>
          <w:b w:val="0"/>
          <w:color w:val="3A4A28"/>
          <w:sz w:val="17"/>
        </w:rPr>
        <w:t>Yahoo Finance — USB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