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USEG</w:t>
      </w:r>
      <w:r>
        <w:rPr>
          <w:rFonts w:ascii="Calibri" w:hAnsi="Calibri"/>
          <w:b/>
          <w:color w:val="1A2010"/>
          <w:sz w:val="40"/>
        </w:rPr>
        <w:t xml:space="preserve">  U.S. Energy Corp.</w:t>
      </w:r>
    </w:p>
    <w:p>
      <w:pPr>
        <w:spacing w:after="120"/>
      </w:pPr>
      <w:r>
        <w:rPr>
          <w:rFonts w:ascii="Calibri" w:hAnsi="Calibri"/>
          <w:b/>
          <w:color w:val="6E8450"/>
          <w:sz w:val="18"/>
        </w:rPr>
        <w:t>GROWTH SLEEVE · 2026-03-31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U.S. Energy Corp. is an independent energy company transitioning from conventional oil and gas operations to an integrated industrial gas, energy, and carbon management platform. The company owns and operates the Big Sky Carbon Hub and Cut Bank oil field in Montana, targeting helium sales, carbon management, and CO2-enhanced oil recovery.</w:t>
      </w:r>
    </w:p>
    <w:p>
      <w:r>
        <w:rPr>
          <w:rFonts w:ascii="Calibri" w:hAnsi="Calibri"/>
          <w:b/>
          <w:color w:val="6E8450"/>
          <w:sz w:val="18"/>
        </w:rPr>
        <w:t>20 Employees · https://www.usnrg.com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USEG's pivot from conventional oil and gas to helium extraction, carbon management (CCUS), and CO2-enhanced oil recovery represents an ambitious strategic shift, but execution remains unproven with first helium sales not expected until early 2027 [1]. The company controls 1.3 BCF of certified helium and 444 BCF of CO2 resources, but has yet to demonstrate commercial-scale production or processing capability [1]. With only 20 employees and $6.8 million in revenue (down 65% year-over-year), the company lacks the scale and R&amp;D resources to drive meaningful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USEG's carbon management positioning provides some mission appeal, but the company's primary motivation appears to be financial survival rather than a compelling higher purpose. CEO Ryan Lewis Smith's compensation of $889K is above average for similar-sized companies despite significant shareholder value destruction [3]. With only 20 employees and no public ESG reporting, cultural assessment is impossible, and the March 2026 dilutive stock offering at $1.00 per share further erodes shareholder trust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USEG's financial position is severely challenged: FY2025 revenue collapsed 65% to $6.8 million, net loss was $14.4 million (including $3.6 million impairment), and adjusted EBITDA was negative $4.5 million [1]. Profit margin of -211% and ROE of -59.4% reflect a company burning cash without commercial operations to support it [2]. While the $15.4 million cash balance and $22.9 million liquidity provide near-term runway, the dilutive $8.8 million stock offering in March 2026 signals capital needs that will continue to dilute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USEG's strategic pivot from declining oil and gas assets to helium and carbon management shows some long-term thinking, but the company's precarious financial position, dilutive capital raises, and unproven commercial model create an overwhelmingly finite-game dynamic focused on near-term survival [1][3].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carbon management and CCUS positioning provides a surface-level just cause around emissions reduction, but the company's transition appears driven more by the decline of its conventional oil and gas assets than by a genuine mission to address climate change [1]. No public ESG reporting or community impact programs have been identified for this 20-employee micro-cap.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20 employees and no publicly available employee sentiment data, cultural assessment is extremely limited [2]. The above-average CEO compensation relative to company size and performance, combined with ongoing dilutive share issuances, suggests a governance structure that may not fully align management and shareholder interests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USEG operates in the shadow of much larger helium producers (ExxonMobil, Linde) and CCUS operators, but there is no public evidence of the company acknowledging these rivals or learning from their approaches [1]. The competitive positioning is more about niche asset ownership than strategic differentiation.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conventional oil and gas E&amp;P to an integrated helium, carbon management, and CO2-EOR platform represents meaningful existential flexibility, fundamentally reimagining the company's identity and revenue model [1]. However, the transition is incomplete — first helium sales are not expected until 2027, and the commercial viability of the new model remains unproven.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While the strategic pivot shows some boldness, USEG's execution has been marked by significant value destruction — revenue down 65%, stock near all-time lows, and ongoing dilutive offerings [1][3]. The courage to lead requires not just vision but demonstrated results, and USEG has yet to prove its new business model can generate positive cash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 Energy Corp. is a speculative micro-cap undergoing a risky transformation from declining conventional oil and gas operations to an integrated helium, carbon management, and CO2-EOR platform. The company controls 1.3 BCF of certified helium and 444 BCF of CO2 resources in Montana, but first helium sales are not expected until early 2027 and commercial viability remains unproven [1].</w:t>
      </w:r>
    </w:p>
    <w:p>
      <w:pPr>
        <w:spacing w:after="120"/>
      </w:pPr>
      <w:r>
        <w:rPr>
          <w:rFonts w:ascii="Calibri" w:hAnsi="Calibri"/>
          <w:b w:val="0"/>
          <w:color w:val="3A4A28"/>
          <w:sz w:val="20"/>
        </w:rPr>
        <w:t>The bear case is dominant: FY2025 revenue collapsed 65% to $6.8M, the net loss was $14.4M, profit margins are deeply negative at -211%, and the March 2026 dilutive offering at $1.00/share signals ongoing capital needs [1][3]. At a $50M market cap with $575K in cash pre-offering, this is a survival-mode company where the risk of permanent capital loss is significant. Only suitable for highly speculative investors willing to bet on unproven helium and CCUS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helium sales from the Montana Big Sky Carbon Hub expected in early 2027 could validate the business model [1]</w:t>
      </w:r>
    </w:p>
    <w:p>
      <w:pPr>
        <w:spacing w:before="40" w:after="40"/>
        <w:ind w:left="283"/>
      </w:pPr>
      <w:r>
        <w:rPr>
          <w:rFonts w:ascii="Calibri" w:hAnsi="Calibri"/>
          <w:b/>
          <w:color w:val="4A6B25"/>
          <w:sz w:val="20"/>
        </w:rPr>
        <w:t xml:space="preserve">2. </w:t>
      </w:r>
      <w:r>
        <w:rPr>
          <w:rFonts w:ascii="Calibri" w:hAnsi="Calibri"/>
          <w:b w:val="0"/>
          <w:color w:val="3A4A28"/>
          <w:sz w:val="20"/>
        </w:rPr>
        <w:t>CO2-enhanced oil recovery program could generate incremental oil production revenue from existing Cut Bank field assets [1]</w:t>
      </w:r>
    </w:p>
    <w:p>
      <w:pPr>
        <w:spacing w:before="40" w:after="40"/>
        <w:ind w:left="283"/>
      </w:pPr>
      <w:r>
        <w:rPr>
          <w:rFonts w:ascii="Calibri" w:hAnsi="Calibri"/>
          <w:b/>
          <w:color w:val="4A6B25"/>
          <w:sz w:val="20"/>
        </w:rPr>
        <w:t xml:space="preserve">3. </w:t>
      </w:r>
      <w:r>
        <w:rPr>
          <w:rFonts w:ascii="Calibri" w:hAnsi="Calibri"/>
          <w:b w:val="0"/>
          <w:color w:val="3A4A28"/>
          <w:sz w:val="20"/>
        </w:rPr>
        <w:t>Federal energy policy support for helium supply security and CCUS could benefit USEG's positioning as a domestic industrial gas producer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~$4.5M annually (adjusted EBITDA) with unproven revenue sources creates significant dilution and going-concern risk [1]</w:t>
      </w:r>
    </w:p>
    <w:p>
      <w:pPr>
        <w:spacing w:before="40" w:after="40"/>
        <w:ind w:left="283"/>
      </w:pPr>
      <w:r>
        <w:rPr>
          <w:rFonts w:ascii="Calibri" w:hAnsi="Calibri"/>
          <w:b/>
          <w:color w:val="4A6B25"/>
          <w:sz w:val="20"/>
        </w:rPr>
        <w:t xml:space="preserve">2. </w:t>
      </w:r>
      <w:r>
        <w:rPr>
          <w:rFonts w:ascii="Calibri" w:hAnsi="Calibri"/>
          <w:b w:val="0"/>
          <w:color w:val="3A4A28"/>
          <w:sz w:val="20"/>
        </w:rPr>
        <w:t>Revenue collapsed 65% in FY2025 and production fell 60% due to asset divestitures, leaving the company with minimal operating cash flow [1]</w:t>
      </w:r>
    </w:p>
    <w:p>
      <w:pPr>
        <w:spacing w:before="40" w:after="40"/>
        <w:ind w:left="283"/>
      </w:pPr>
      <w:r>
        <w:rPr>
          <w:rFonts w:ascii="Calibri" w:hAnsi="Calibri"/>
          <w:b/>
          <w:color w:val="4A6B25"/>
          <w:sz w:val="20"/>
        </w:rPr>
        <w:t xml:space="preserve">3. </w:t>
      </w:r>
      <w:r>
        <w:rPr>
          <w:rFonts w:ascii="Calibri" w:hAnsi="Calibri"/>
          <w:b w:val="0"/>
          <w:color w:val="3A4A28"/>
          <w:sz w:val="20"/>
        </w:rPr>
        <w:t>Sub-$1 stock price risks NASDAQ delisting, and the March 2026 dilutive offering at $1.00/share further erodes shareholder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USEG's physical asset-based business model in helium extraction, carbon management, and oil production is largely insulated from direct AI disruption, as these operations depend on geological assets and extraction infrastructure rather than knowledge work [3]. However, AI offers limited upside for a 20-person micro-cap — the company lacks the scale to benefit meaningfully from AI-driven exploration optimization or operational efficiencies that larger E&amp;P companies can deploy. AI Risk Protection scores 4/9 as the business is neither helped nor harmed significantly by AI trends. No AI Opportunity tiebreaker.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U.S. Energy Corp. FY2025 Results and Strategic Update, March 13, 2026 — GlobeNewswire</w:t>
      </w:r>
    </w:p>
    <w:p>
      <w:pPr>
        <w:spacing w:before="20" w:after="20"/>
        <w:ind w:left="170"/>
      </w:pPr>
      <w:r>
        <w:rPr>
          <w:rFonts w:ascii="Calibri" w:hAnsi="Calibri"/>
          <w:b/>
          <w:color w:val="4A6B25"/>
          <w:sz w:val="15"/>
        </w:rPr>
        <w:t xml:space="preserve">2. </w:t>
      </w:r>
      <w:r>
        <w:rPr>
          <w:rFonts w:ascii="Calibri" w:hAnsi="Calibri"/>
          <w:b w:val="0"/>
          <w:color w:val="3A4A28"/>
          <w:sz w:val="17"/>
        </w:rPr>
        <w:t>Yahoo Finance — USEG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U.S. Energy Corp. Underwritten Offering Pricing, March 9, 2026 — GlobeNewswire; Simply Wall St Management Analysis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USEG revenue history,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