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UTZ</w:t>
      </w:r>
      <w:r>
        <w:rPr>
          <w:rFonts w:ascii="Calibri" w:hAnsi="Calibri"/>
          <w:b/>
          <w:color w:val="1A2010"/>
          <w:sz w:val="40"/>
        </w:rPr>
        <w:t xml:space="preserve">  Utz Brands, Inc.</w:t>
      </w:r>
    </w:p>
    <w:p>
      <w:pPr>
        <w:spacing w:after="120"/>
      </w:pPr>
      <w:r>
        <w:rPr>
          <w:rFonts w:ascii="Calibri" w:hAnsi="Calibri"/>
          <w:b/>
          <w:color w:val="6E8450"/>
          <w:sz w:val="18"/>
        </w:rPr>
        <w:t>DIVIDEND SLEEVE · 2026-04-23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Utz Brands manufactures and distributes branded salty snacks in the United States, including potato chips, tortilla chips, pretzels, cheese snacks, pork skins, and popcorn under brands such as Utz, Zapp's, On The Border, Boulder Canyon, Golden Flake, and Hawaiian. Founded in 1921 and headquartered in Hanover, Pennsylvania.</w:t>
      </w:r>
    </w:p>
    <w:p>
      <w:r>
        <w:rPr>
          <w:rFonts w:ascii="Calibri" w:hAnsi="Calibri"/>
          <w:b/>
          <w:color w:val="6E8450"/>
          <w:sz w:val="18"/>
        </w:rPr>
        <w:t>3,100 Employees · https://www.utzsnacks.com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Utz has executed incremental brand portfolio rationalization and geographic expansion since going public via SPAC in 2020, but no transformative product launches or business model pivots in the last five years — the company sells the same salty snack categories it always has [1]. AI Deployment (0/2): No AI-powered products or quantified AI-driven efficiencies reported; the company completed a multi-year ERP system implementation but this is standard infrastructure modernization, not AI deployment [2]. Market Share (1/2): Utz holds the #4 position in U.S. salty snacks behind Frito-Lay, Hershey, and Campbell's, with modest share gains in select regional markets through DSD expansion, but remains a small player nationally [1]. Pipeline (1/2): New innovation and marketing leader Jennifer Bentz was hired to drive product pipeline, and CAGNY 2026 presentation highlighted geographic expansion and marketing investment, though specific next-gen product launches with timelines were not detailed [1][2]. R&amp;D Intensity (1/1): Utz invests in product innovation and has a 'fail fast' testing approach for new products, consistent with consumer staples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Utz's purpose centers on bringing people together through great-tasting snacks, rooted in its 100+ year family heritage — clear but not distinctive from packaged food peers [3]. Community Impact (1/2): The company highlights associate well-being and inclusive workplace culture in its ESG reports, and has community programs tied to its Hanover, PA roots, but no major foundation or quantified charitable giving was identified [3]. Employee Retention (1/2): CEO Howard Friedman brought fresh CPG leadership since December 2022, and the company has invested in team building and marketing capability, though the 14,000 referenced layoffs and ongoing restructuring raise retention questions [2]. Insider Buying (1/2): Insider transactions are exclusively stock awards/grants rather than open-market purchases — CEO Friedman received 282,256 shares in January 2026 and 132,498 in March 2026, showing equity alignment but not personal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trades at a deeply discounted forward P/E of 9.0x with FY2026 EPS guidance of $0.77-$0.80, suggesting significant margin expansion ahead from the current near-zero trailing profit margin of 0.06% [1][4]. D/E of 76.5% is manageable for a consumer staples company, though ROE is effectively zero at -0.6% reflecting the current profitability trough. Revenue of $1.44B grew just 0.4% YoY with a ~0.7% 5-year CAGR, showing organic stagnation [1]. The dividend yield of 3.3% with a low 24.6% payout ratio and 18.5% 5-year dividend growth CAGR are bright spots, though consecutive growth was broken in 2025. Liquidity is adequate at $14.3M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Utz has a genuine 100+ year heritage as a family-founded snack company, providing a foundation for infinite game thinking. However, the company is still in transition under CEO Howard Friedman (since Dec 2022), navigating restructuring, leadership turnover, and a shift from acquisition-driven to organic growth. The long-term vision is present but unproven under current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Utz's 100+ year heritage of making quality snacks since 1921 provides historical depth, but the company's purpose — bringing people together through great-tasting snacks — is a standard consumer staples mission rather than a transformative Just Cause [3]. The founding family legacy adds authenticity, but post-SPAC Utz is primarily focused on operational efficiency and brand rationalization, which are finite game objectives.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Friedman has rebuilt the executive team with experienced CPG talent including a new CIO, CMO, and innovation leader, investing in marketing capability and a 'fail fast' culture [2]. However, organizational restructuring and headcount changes suggest a still-stabilizing culture. The ESG report emphasizes associate well-being and inclusive environment, but these are early-stage commitments under the new leadership team.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primarily frames its competitive position in terms of market share gains and geographic expansion against Frito-Lay and other national brands, using finite competitive language focused on share capture rather than self-improvement [1]. No evidence of management discussing learning from rivals' strengths or using competitive pressure as motivation to improve the company's own capabilities.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Utz has shown incremental flexibility by shifting from an acquisition-driven strategy (12+ acquisitions from 2018-2022) to an organic growth model focused on brand investment and marketing under Friedman [1][2]. The DSD-to-warehouse distribution evolution and geographic expansion represent meaningful operational pivots, though not transformative business model changes.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Friedman made the courageous decision to pause the acquisition-heavy strategy and invest in marketing, brand building, and operational efficiency — accepting near-term revenue stagnation (0.4% YoY growth) in exchange for long-term margin improvement [1]. The pivot from a roll-up strategy to organic growth required acknowledging that prior M&amp;A was not creating sufficient value.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Utz Brands is a 100+ year salty snack company trading at a deeply discounted 9.0x forward P/E with FY2026 EPS guidance of $0.77-$0.80, implying massive earnings improvement from the current near-zero trailing margin [1]. Under CEO Howard Friedman (since Dec 2022), the company has shifted from an acquisition-driven strategy to organic growth, investing in marketing, brand building, and operational efficiency that has driven 8% adjusted EBITDA CAGR from 2022-2025. The 3.3% dividend yield with a low 24.6% payout ratio provides income while the turnaround unfolds. Utz holds the #4 position in the $45B+ U.S. salty snacks market with strong regional brands (Zapp's, Boulder Canyon, Golden Flake) and geographic white space for expansion [1].</w:t>
      </w:r>
    </w:p>
    <w:p>
      <w:pPr>
        <w:spacing w:after="120"/>
      </w:pPr>
      <w:r>
        <w:rPr>
          <w:rFonts w:ascii="Calibri" w:hAnsi="Calibri"/>
          <w:b w:val="0"/>
          <w:color w:val="3A4A28"/>
          <w:sz w:val="20"/>
        </w:rPr>
        <w:t>The bear case centers on persistent revenue stagnation and execution risk. Revenue has been flat at ~$1.4B for four consecutive years (2022-2025), with just 0.4% YoY growth and a 0.7% 5-year CAGR, raising questions about whether organic growth can materialize [1]. Trailing profit margin of 0.06% and negative ROE of -0.6% show the company is barely profitable on a GAAP basis, with the forward earnings improvement dependent on cost savings and operational leverage that may not fully materialize. Utz competes against Frito-Lay (PepsiCo), which has overwhelming scale advantages in manufacturing, marketing spend, and shelf space. The stock has declined from $18+ to $7.60, destroying significant shareholder value since the 2020 SPAC. The $672M market cap and small-cap status create liquidity and volatility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9.0x implies significant earnings inflection in FY2026, with management guiding $0.77-$0.80 EPS vs. $0.01 trailing — if achieved, this would rerate the stock substantially [1]</w:t>
      </w:r>
    </w:p>
    <w:p>
      <w:pPr>
        <w:spacing w:before="40" w:after="40"/>
        <w:ind w:left="283"/>
      </w:pPr>
      <w:r>
        <w:rPr>
          <w:rFonts w:ascii="Calibri" w:hAnsi="Calibri"/>
          <w:b/>
          <w:color w:val="4A6B25"/>
          <w:sz w:val="20"/>
        </w:rPr>
        <w:t xml:space="preserve">2. </w:t>
      </w:r>
      <w:r>
        <w:rPr>
          <w:rFonts w:ascii="Calibri" w:hAnsi="Calibri"/>
          <w:b w:val="0"/>
          <w:color w:val="3A4A28"/>
          <w:sz w:val="20"/>
        </w:rPr>
        <w:t>Geographic expansion into underpenetrated markets with DSD and warehouse distribution, targeting national coverage for regional brands like Zapp's and Boulder Canyon [1]</w:t>
      </w:r>
    </w:p>
    <w:p>
      <w:pPr>
        <w:spacing w:before="40" w:after="40"/>
        <w:ind w:left="283"/>
      </w:pPr>
      <w:r>
        <w:rPr>
          <w:rFonts w:ascii="Calibri" w:hAnsi="Calibri"/>
          <w:b/>
          <w:color w:val="4A6B25"/>
          <w:sz w:val="20"/>
        </w:rPr>
        <w:t xml:space="preserve">3. </w:t>
      </w:r>
      <w:r>
        <w:rPr>
          <w:rFonts w:ascii="Calibri" w:hAnsi="Calibri"/>
          <w:b w:val="0"/>
          <w:color w:val="3A4A28"/>
          <w:sz w:val="20"/>
        </w:rPr>
        <w:t>Marketing investment under new CMO Jennifer Bentz with a 'fail fast' innovation approach, potentially driving brand awareness and velocity improvements across the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consecutive years of flat ~$1.4B revenue suggests potential structural demand ceiling in salty snacks categories where Frito-Lay dominates with 60%+ market share [1]</w:t>
      </w:r>
    </w:p>
    <w:p>
      <w:pPr>
        <w:spacing w:before="40" w:after="40"/>
        <w:ind w:left="283"/>
      </w:pPr>
      <w:r>
        <w:rPr>
          <w:rFonts w:ascii="Calibri" w:hAnsi="Calibri"/>
          <w:b/>
          <w:color w:val="4A6B25"/>
          <w:sz w:val="20"/>
        </w:rPr>
        <w:t xml:space="preserve">2. </w:t>
      </w:r>
      <w:r>
        <w:rPr>
          <w:rFonts w:ascii="Calibri" w:hAnsi="Calibri"/>
          <w:b w:val="0"/>
          <w:color w:val="3A4A28"/>
          <w:sz w:val="20"/>
        </w:rPr>
        <w:t>Near-zero trailing profitability (0.06% margin, -0.6% ROE) with earnings guidance dependent on cost savings and operational leverage that may face execution risk [4]</w:t>
      </w:r>
    </w:p>
    <w:p>
      <w:pPr>
        <w:spacing w:before="40" w:after="40"/>
        <w:ind w:left="283"/>
      </w:pPr>
      <w:r>
        <w:rPr>
          <w:rFonts w:ascii="Calibri" w:hAnsi="Calibri"/>
          <w:b/>
          <w:color w:val="4A6B25"/>
          <w:sz w:val="20"/>
        </w:rPr>
        <w:t xml:space="preserve">3. </w:t>
      </w:r>
      <w:r>
        <w:rPr>
          <w:rFonts w:ascii="Calibri" w:hAnsi="Calibri"/>
          <w:b w:val="0"/>
          <w:color w:val="3A4A28"/>
          <w:sz w:val="20"/>
        </w:rPr>
        <w:t>Small-cap stock ($672M market cap) with 75% decline from post-SPAC highs, creating risk of further multiple compression if turnaround stalls or broader consumer staples weakness emerges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Utz's core business — manufacturing and distributing physical salty snack products — is structurally immune to AI substitution. AI cannot replace potato chips, pretzels, or the physical supply chain required to produce and distribute them. The business involves food manufacturing facilities, direct-store-delivery networks, and physical retail shelf space that AI cannot displace [1]. Consumer snacking behavior is deeply habitual and brand-driven, providing additional insulation. AI may modestly improve supply chain efficiency, demand forecasting, and route optimization but poses zero threat to the core product. AI Opportunity (1/1): Utz completed a multi-year ERP modernization and is deploying data analytics for consumer insights and marketing optimization, generating measurable operational efficiencies in distribution and inventory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Utz Brands Q4/FY2025 Earnings Release — $1.44B revenue, 2.1% YoY growth, FY2026 guidance $0.77-$0.80 EPS, February 2026</w:t>
      </w:r>
    </w:p>
    <w:p>
      <w:pPr>
        <w:spacing w:before="20" w:after="20"/>
        <w:ind w:left="170"/>
      </w:pPr>
      <w:r>
        <w:rPr>
          <w:rFonts w:ascii="Calibri" w:hAnsi="Calibri"/>
          <w:b/>
          <w:color w:val="4A6B25"/>
          <w:sz w:val="15"/>
        </w:rPr>
        <w:t xml:space="preserve">2. </w:t>
      </w:r>
      <w:r>
        <w:rPr>
          <w:rFonts w:ascii="Calibri" w:hAnsi="Calibri"/>
          <w:b w:val="0"/>
          <w:color w:val="3A4A28"/>
          <w:sz w:val="17"/>
        </w:rPr>
        <w:t>Utz Brands CAGNY 2026 Presentation — strategic growth and innovation, marketing investment, CEO Friedman commentary, February 2026</w:t>
      </w:r>
    </w:p>
    <w:p>
      <w:pPr>
        <w:spacing w:before="20" w:after="20"/>
        <w:ind w:left="170"/>
      </w:pPr>
      <w:r>
        <w:rPr>
          <w:rFonts w:ascii="Calibri" w:hAnsi="Calibri"/>
          <w:b/>
          <w:color w:val="4A6B25"/>
          <w:sz w:val="15"/>
        </w:rPr>
        <w:t xml:space="preserve">3. </w:t>
      </w:r>
      <w:r>
        <w:rPr>
          <w:rFonts w:ascii="Calibri" w:hAnsi="Calibri"/>
          <w:b w:val="0"/>
          <w:color w:val="3A4A28"/>
          <w:sz w:val="17"/>
        </w:rPr>
        <w:t>Utz Brands 2023 ESG Report — environmental, social, and governance initiatives, September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UTZ (Utz Brands),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