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UWMC</w:t>
      </w:r>
      <w:r>
        <w:rPr>
          <w:rFonts w:ascii="Calibri" w:hAnsi="Calibri"/>
          <w:b/>
          <w:color w:val="1A2010"/>
          <w:sz w:val="40"/>
        </w:rPr>
        <w:t xml:space="preserve">  UWM Holdings Corporation</w:t>
      </w:r>
    </w:p>
    <w:p>
      <w:pPr>
        <w:spacing w:after="120"/>
      </w:pPr>
      <w:r>
        <w:rPr>
          <w:rFonts w:ascii="Calibri" w:hAnsi="Calibri"/>
          <w:b/>
          <w:color w:val="6E8450"/>
          <w:sz w:val="18"/>
        </w:rPr>
        <w:t>DIVIDEND SLEEVE · 2026-03-24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UWM Holdings (United Wholesale Mortgage) is the largest wholesale mortgage lender in America for 11 consecutive years and the largest purchase lender in the country. Q4 2025 origination volume reached $49.6B — its highest since 2021. The company generated $3.46B in 2025 revenue (+40.7% YoY) and has deployed four AI tools (BOLT, ChatUWM, LEO, and Mia) that handle 12M+ calls annually. CEO Mat Ishbia controls the company through SFS Corp.</w:t>
      </w:r>
    </w:p>
    <w:p>
      <w:r>
        <w:rPr>
          <w:rFonts w:ascii="Calibri" w:hAnsi="Calibri"/>
          <w:b/>
          <w:color w:val="6E8450"/>
          <w:sz w:val="18"/>
        </w:rPr>
        <w:t>8,000 Employees · https://investors.uwm.com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UWM's AI deployment is genuinely operational and measurable: 'Mia' voice AI handles 12M+ annual calls, 'BOLT' processes loan applications in minutes versus industry average of 39 days, and the suite of AI tools (ChatUWM, LEO) is enabling 2-3x volume capacity without proportional headcount [1]. TRAC+ and PA+ are new revenue-generating products expected to contribute nine-figure annualized revenue run rates [1]. The 2026 merger with Two Harbors (a REIT) represents a meaningful business model extension beyond pure origination [2]. However, UWM's core innovation is operational efficiency rather than product innovation — it's a faster, cheaper version of mortgage origination, not a transformation of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UWM's mission — 'to make the dream of homeownership a reality for more Americans through the wholesale channel' — connects directly to a foundational American aspiration, and Ishbia's 30-year tenure building the company from 12 employees to America's largest wholesale lender validates long-term mission commitment [1]. The company has paid dividends for 21 consecutive quarters and maintained market leadership through multiple mortgage cycles. However, CEO insider share sales (selling millions of shares through SFS Corp beginning December 2025) create a significant Inspiration headwind — net insider selling, not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UWM generated $3.46B in 2025 revenue (+40.7% YoY) with $49.6B in Q4 2025 originations (highest since 2021) [1]. The company has paid 21 consecutive quarterly dividends, qualifying for Dividend sleeve. D/E is elevated for a mortgage company (typical given GSE securitization structures). ROE and profit margins are modest but positive. Revenue grew 40.7% in 2025 but underlying profitability ($27.38M net income on $3.46B revenue) reflects razor-thin GAAP margins. Forward revenue guidance of $3.5–4.5B in 2026 provides visibility. Liquidity floor check: ~$4.05 × ~8M volume = &gt;$1M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Mat Ishbia built UWM from 12 employees to America's largest mortgage lender over 30 years — an extraordinary long-horizon achievement that demonstrates genuine Just Cause commitment. The AI investments and Two Harbors merger show strategic evolution. However, the CEO's pattern of selling millions of shares through a controlled entity since December 2025 raises questions about long-term commitment and creates a mixed infinite-game signal.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UWM's cause — democratizing homeownership through broker channels rather than bank monopolies — is genuine and has been validated by building the largest wholesale mortgage operation in U.S. history [1]. Ishbia's 'brokers are better' philosophy has consistently shaped product and pricing decisions that favor broker channel economics over bank direct channels.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UWM's employee culture has been described as high-energy and competitive — Ishbia is known for intensive engagement and high expectations. The company's 15-business-day close time (vs. 39-day industry average) requires a highly coordinated team. Frequent public communications about strategic direction create organizational clarity.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UWM explicitly tracks Rocket Mortgage, LoanDepot, and bank direct channels, and frames its AI investments as a response to competitive efficiency pressures. The company's 12% market share in refinance originations demonstrates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Two Harbors REIT merger is a significant business model extension — adding mortgage servicing retention and balance sheet assets to the pure origination model. TRAC+ and PA+ represent new ancillary product categories. These are meaningful pivots, though the core wholesale origination model is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CEO's ongoing share sales through SFS Corp (millions of shares sold beginning December 2025 as the stock has declined 33% over the prior year) create governance concerns — leaders who genuinely believe in the long-term story buy shares, not sell them at a discount. The pattern of insider selling undermines the courageous leadership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UWMC offers a 9.9% dividend yield (21 consecutive quarterly payments) at an incredibly compressed valuation of 15.5x forward P/E, at a time when mortgage volumes are recovering — $49.6B in Q4 2025 originations is the highest since 2021 [1]. The AI-driven productivity initiatives (Mia handling 12M calls, BOLT closing in 15 days) should improve EBITDA margins as volumes grow without proportional cost increases. The Two Harbors merger adds a stable, recurring revenue stream from mortgage servicing that reduces earnings cyclicality and should enable dividend sustainability [2].</w:t>
      </w:r>
    </w:p>
    <w:p>
      <w:pPr>
        <w:spacing w:after="120"/>
      </w:pPr>
      <w:r>
        <w:rPr>
          <w:rFonts w:ascii="Calibri" w:hAnsi="Calibri"/>
          <w:b w:val="0"/>
          <w:color w:val="3A4A28"/>
          <w:sz w:val="20"/>
        </w:rPr>
        <w:t>The bear case is rate sensitivity and structural margin compression: the 30-year mortgage rate above 7% suppresses both purchase and refi origination volumes, and UWMC's thin GAAP net income ($27.4M on $3.46B revenue) leaves almost no margin of safety [1]. CEO insider selling (millions of shares at $3.50-3.75 through March 2026) directly undercuts the investment thesis — it is difficult to recommend a company where the controlling CEO is selling aggressively [2]. Analyst average target of $6.66 implies 64% upside, but BTIG's $10 target and Jefferies' Hold at $5 reflect wide analyst disagreement about the path to profitability. Rate cuts are the essential catalyst and are not within UWM's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toward 5.75%: each 50bps cut adds approximately 15% to refinance origination volume — rate cuts are the single largest revenue catalyst for UWMC [1]</w:t>
      </w:r>
    </w:p>
    <w:p>
      <w:pPr>
        <w:spacing w:before="40" w:after="40"/>
        <w:ind w:left="283"/>
      </w:pPr>
      <w:r>
        <w:rPr>
          <w:rFonts w:ascii="Calibri" w:hAnsi="Calibri"/>
          <w:b/>
          <w:color w:val="4A6B25"/>
          <w:sz w:val="20"/>
        </w:rPr>
        <w:t xml:space="preserve">2. </w:t>
      </w:r>
      <w:r>
        <w:rPr>
          <w:rFonts w:ascii="Calibri" w:hAnsi="Calibri"/>
          <w:b w:val="0"/>
          <w:color w:val="3A4A28"/>
          <w:sz w:val="20"/>
        </w:rPr>
        <w:t>Two Harbors merger completion in Q2 2026: adding mortgage servicing retention creates recurring cash flow streams that reduce earnings volatility and improve the dividend sustainability case [2]</w:t>
      </w:r>
    </w:p>
    <w:p>
      <w:pPr>
        <w:spacing w:before="40" w:after="40"/>
        <w:ind w:left="283"/>
      </w:pPr>
      <w:r>
        <w:rPr>
          <w:rFonts w:ascii="Calibri" w:hAnsi="Calibri"/>
          <w:b/>
          <w:color w:val="4A6B25"/>
          <w:sz w:val="20"/>
        </w:rPr>
        <w:t xml:space="preserve">3. </w:t>
      </w:r>
      <w:r>
        <w:rPr>
          <w:rFonts w:ascii="Calibri" w:hAnsi="Calibri"/>
          <w:b w:val="0"/>
          <w:color w:val="3A4A28"/>
          <w:sz w:val="20"/>
        </w:rPr>
        <w:t>AI-driven margin expansion: BOLT, Mia, and ChatUWM enabling 2-3x current volume without proportional headcount increases should improve GAAP profitability from current 0.8% net margin toward 2-3% on the same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persistence above 7%: each 50bps increase in mortgage rates reduces origination volume by approximately 10-15% — at 7.5%+ rates, UWMC's Q4 2026 volume growth could reverse entirely [1]</w:t>
      </w:r>
    </w:p>
    <w:p>
      <w:pPr>
        <w:spacing w:before="40" w:after="40"/>
        <w:ind w:left="283"/>
      </w:pPr>
      <w:r>
        <w:rPr>
          <w:rFonts w:ascii="Calibri" w:hAnsi="Calibri"/>
          <w:b/>
          <w:color w:val="4A6B25"/>
          <w:sz w:val="20"/>
        </w:rPr>
        <w:t xml:space="preserve">2. </w:t>
      </w:r>
      <w:r>
        <w:rPr>
          <w:rFonts w:ascii="Calibri" w:hAnsi="Calibri"/>
          <w:b w:val="0"/>
          <w:color w:val="3A4A28"/>
          <w:sz w:val="20"/>
        </w:rPr>
        <w:t>CEO insider selling signal: Mat Ishbia selling millions of shares through SFS Corp beginning December 2025 while the stock declined 33% creates governance uncertainty and suggests the CEO does not believe the current stock price represents significant undervaluation [2]</w:t>
      </w:r>
    </w:p>
    <w:p>
      <w:pPr>
        <w:spacing w:before="40" w:after="40"/>
        <w:ind w:left="283"/>
      </w:pPr>
      <w:r>
        <w:rPr>
          <w:rFonts w:ascii="Calibri" w:hAnsi="Calibri"/>
          <w:b/>
          <w:color w:val="4A6B25"/>
          <w:sz w:val="20"/>
        </w:rPr>
        <w:t xml:space="preserve">3. </w:t>
      </w:r>
      <w:r>
        <w:rPr>
          <w:rFonts w:ascii="Calibri" w:hAnsi="Calibri"/>
          <w:b w:val="0"/>
          <w:color w:val="3A4A28"/>
          <w:sz w:val="20"/>
        </w:rPr>
        <w:t>Two Harbors integration risk: combining a wholesale originator with a REIT introduces balance sheet complexity and regulatory overlap — any execution issues during the integration period could distract management and create capital allocation confusion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Mortgage origination faces moderate AI disruption risk — AI-powered platforms like Rocket Mortgage and fintech lenders are automate underwriting and reduce the human expertise advantage that brokers traditionally provided [1]. UWM is proactively deploying AI as a productivity tool (BOLT, Mia, ChatUWM, LEO) and expects to handle 2-3x current volume through AI without proportional hiring [1]. The wholesale-only channel model creates some insulation — brokers are human relationship managers who use UWM's platform. However, direct-to-consumer AI lending platforms could reduce broker origination share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UWM Holdings Q4 2025 Earnings Release and AI Strategy Update,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UWM Holdings Issues Statement and Updates Forecasts, March 9,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UWM Holdings UWMC Valuation After Outlook Revision,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