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VALE</w:t>
      </w:r>
      <w:r>
        <w:rPr>
          <w:rFonts w:ascii="Calibri" w:hAnsi="Calibri"/>
          <w:b/>
          <w:color w:val="1A2010"/>
          <w:sz w:val="40"/>
        </w:rPr>
        <w:t xml:space="preserve">  Vale S.A.</w:t>
      </w:r>
    </w:p>
    <w:p>
      <w:pPr>
        <w:spacing w:after="120"/>
      </w:pPr>
      <w:r>
        <w:rPr>
          <w:rFonts w:ascii="Calibri" w:hAnsi="Calibri"/>
          <w:b/>
          <w:color w:val="6E8450"/>
          <w:sz w:val="18"/>
        </w:rPr>
        <w:t>DIVIDEND SLEEVE · 2026-03-23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Brazil</w:t>
      </w:r>
    </w:p>
    <w:p>
      <w:pPr>
        <w:spacing w:after="80"/>
      </w:pPr>
      <w:r>
        <w:rPr>
          <w:rFonts w:ascii="Calibri" w:hAnsi="Calibri"/>
          <w:b w:val="0"/>
          <w:color w:val="3A4A28"/>
          <w:sz w:val="20"/>
        </w:rPr>
        <w:t>Vale is the world's largest producer of iron ore and nickel, operating across Brazil, Asia, and globally. The company produced 336.1 million tonnes of iron ore in 2025 (highest since 2019) and is expanding into copper and base metals to capture energy transition demand.</w:t>
      </w:r>
    </w:p>
    <w:p>
      <w:r>
        <w:rPr>
          <w:rFonts w:ascii="Calibri" w:hAnsi="Calibri"/>
          <w:b/>
          <w:color w:val="6E8450"/>
          <w:sz w:val="18"/>
        </w:rPr>
        <w:t>65,805 Employees · https://vale.com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Vale achieved its highest iron ore production since 2019 at 336.1Mt, driven by successful ramp-ups at Capanema, Vargem Grande, and Onca Puma projects [1]. Iron ore C1 cash cost of $21.3/t (down 2% YoY) demonstrates operational efficiency innovation. However, mining is a mature industry with incremental rather than breakthrough innovation, and Vale's technology adoption lags mining peers like BHP and Rio Tinto in autonomous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Vale's brand is indelibly stained by the 2019 Brumadinho dam disaster that killed 272 people, followed by SEC fraud charges for manipulating dam safety audits and misleading investors through ESG disclosures [3]. Criminal proceedings continue with 16 directors charged with murder. While R$3.9 billion in reparations have been paid (96% of cases completed), the ethical legacy permanently weighs on the inspiration score. The $55.9 million SEC settlement further erodes trust.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Vale trades at 25.5x trailing P/E but an attractive 6.5x forward P/E reflecting expected earnings recovery, with an 8.96% dividend yield (though 212% payout ratio signals the current yield is unsustainable) [2]. Profit margin of 6.5% and ROE of 5.9% are below historical norms due to Brumadinho-related charges and iron ore price weakness. D/E of 61.3% is manageable for a miner, and projected 2026 EBITDA of $16.7-17.4 billion provides substantial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Vale's 80+ year operating history and long-term mine plans demonstrate institutional endurance, but the Brumadinho disaster exposed fundamental governance failures that contradicted any infinite game rhetoric [3]. The company's recent pivot toward copper and base metals for the energy transition shows forward-looking strategy, but trust restoration from the dam disaster will take decades.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Vale's stated commitment to sustainable mining is undermined by the Brumadinho disaster, SEC fraud charges for manipulated safety audits, and ongoing criminal proceedings [3]. The pivot to energy transition metals (copper, nickel) provides a more compelling forward-looking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conviction of former director Peter Poppinga for failure of diligence, along with 16 directors charged with murder related to Brumadinho, reveals deep governance failures that erode organizational trust [3]. The 65,805-employee workforce operates in a shadow of institutional negligence.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Vale competes with BHP, Rio Tinto, and FMG in iron ore, using competitive pressure to drive cost reduction (C1 cash costs down to $21.3/t) and expand into copper/nickel where it competes with Glencore and other diversified miners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Vale's strategic pivot from pure iron ore to copper, nickel, and energy transition metals demonstrates meaningful flexibility. The company has divested fertilizer, coal, and steel operations to focus on core mining, showing capital allocation discipline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Vale's courage is undermined by its history of prioritizing production over safety. While the R$37.7 billion reparation agreement and dam decommissioning show post-disaster accountability, true courage would have prevented the disaster through proactive safety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Vale offers deep value at 6.5x forward P/E with projected 2026 EBITDA of $16.7-17.4 billion, the world's lowest-cost iron ore production at $21.3/t C1 cash cost, and expanding copper output (350-380K tonnes guided for 2026) [1]. Iron ore production guidance of 335-345Mt for 2026 continues the recovery trajectory, and the long-term 360Mt target by 2030 provides visible growth. At $14.05, the stock prices in significant risk, and any China stimulus or iron ore price recovery could drive meaningful upside. The 8.96% trailing dividend yield provides income during the wait.</w:t>
      </w:r>
    </w:p>
    <w:p>
      <w:pPr>
        <w:spacing w:after="120"/>
      </w:pPr>
      <w:r>
        <w:rPr>
          <w:rFonts w:ascii="Calibri" w:hAnsi="Calibri"/>
          <w:b w:val="0"/>
          <w:color w:val="3A4A28"/>
          <w:sz w:val="20"/>
        </w:rPr>
        <w:t>The bear case includes the Brumadinho legacy — ongoing criminal proceedings, $55.9M SEC settlement, and R$37.7 billion in total reparation commitments create persistent financial and reputational drag [3]. The 212% payout ratio signals the current 9% yield will be cut when normalized to sustainable earnings. Iron ore prices are vulnerable to China's property sector slowdown and potential demand destruction from construction declines. BRL/USD volatility erodes ADR returns, and the ongoing Mariana dam litigation (with municipalities rejecting settlements) adds unpredictable liability. The stock has declined from $15.83 (50-day SMA) to $14.05.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Iron ore production recovery to 360Mt by 2030 combined with C1 cost discipline at $21.3/t could expand margins significantly if prices hold</w:t>
      </w:r>
    </w:p>
    <w:p>
      <w:pPr>
        <w:spacing w:before="40" w:after="40"/>
        <w:ind w:left="283"/>
      </w:pPr>
      <w:r>
        <w:rPr>
          <w:rFonts w:ascii="Calibri" w:hAnsi="Calibri"/>
          <w:b/>
          <w:color w:val="4A6B25"/>
          <w:sz w:val="20"/>
        </w:rPr>
        <w:t xml:space="preserve">2. </w:t>
      </w:r>
      <w:r>
        <w:rPr>
          <w:rFonts w:ascii="Calibri" w:hAnsi="Calibri"/>
          <w:b w:val="0"/>
          <w:color w:val="3A4A28"/>
          <w:sz w:val="20"/>
        </w:rPr>
        <w:t>Copper production growth to 350-380K tonnes in 2026, with Glencore JV providing path to tier-1 base metals exposure for energy transition</w:t>
      </w:r>
    </w:p>
    <w:p>
      <w:pPr>
        <w:spacing w:before="40" w:after="40"/>
        <w:ind w:left="283"/>
      </w:pPr>
      <w:r>
        <w:rPr>
          <w:rFonts w:ascii="Calibri" w:hAnsi="Calibri"/>
          <w:b/>
          <w:color w:val="4A6B25"/>
          <w:sz w:val="20"/>
        </w:rPr>
        <w:t xml:space="preserve">3. </w:t>
      </w:r>
      <w:r>
        <w:rPr>
          <w:rFonts w:ascii="Calibri" w:hAnsi="Calibri"/>
          <w:b w:val="0"/>
          <w:color w:val="3A4A28"/>
          <w:sz w:val="20"/>
        </w:rPr>
        <w:t>China infrastructure stimulus or property sector stabilization could drive iron ore prices above $100/t, creating substantial earnings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property sector continued weakness could push iron ore prices below $80/t, compressing Vale's margins and forcing a dividend cut</w:t>
      </w:r>
    </w:p>
    <w:p>
      <w:pPr>
        <w:spacing w:before="40" w:after="40"/>
        <w:ind w:left="283"/>
      </w:pPr>
      <w:r>
        <w:rPr>
          <w:rFonts w:ascii="Calibri" w:hAnsi="Calibri"/>
          <w:b/>
          <w:color w:val="4A6B25"/>
          <w:sz w:val="20"/>
        </w:rPr>
        <w:t xml:space="preserve">2. </w:t>
      </w:r>
      <w:r>
        <w:rPr>
          <w:rFonts w:ascii="Calibri" w:hAnsi="Calibri"/>
          <w:b w:val="0"/>
          <w:color w:val="3A4A28"/>
          <w:sz w:val="20"/>
        </w:rPr>
        <w:t>Brumadinho/Mariana litigation — municipalities rejecting settlements and ongoing criminal proceedings create unpredictable multi-billion dollar liabilities</w:t>
      </w:r>
    </w:p>
    <w:p>
      <w:pPr>
        <w:spacing w:before="40" w:after="40"/>
        <w:ind w:left="283"/>
      </w:pPr>
      <w:r>
        <w:rPr>
          <w:rFonts w:ascii="Calibri" w:hAnsi="Calibri"/>
          <w:b/>
          <w:color w:val="4A6B25"/>
          <w:sz w:val="20"/>
        </w:rPr>
        <w:t xml:space="preserve">3. </w:t>
      </w:r>
      <w:r>
        <w:rPr>
          <w:rFonts w:ascii="Calibri" w:hAnsi="Calibri"/>
          <w:b w:val="0"/>
          <w:color w:val="3A4A28"/>
          <w:sz w:val="20"/>
        </w:rPr>
        <w:t>BRL/USD currency volatility can swing ADR returns by 10%+ annually independent of operational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provides operational benefits to Vale through autonomous mining equipment, predictive maintenance, and geological modeling, but these are incremental efficiency gains rather than transformational [1]. The core business depends on physical commodity extraction that AI cannot replicate. The primary AI-related risk is indirect — AI-driven materials science could develop iron ore substitutes for certain applications, though steel demand remains structurally tied to infrastructure and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Vale Q4 2025 Financial Results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VALE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SEC vs. Vale enforcement action and Brumadinho settlement records,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