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w:t>
      </w:r>
      <w:r>
        <w:rPr>
          <w:rFonts w:ascii="Calibri" w:hAnsi="Calibri"/>
          <w:b/>
          <w:color w:val="1A2010"/>
          <w:sz w:val="40"/>
        </w:rPr>
        <w:t xml:space="preserve">  Valaris Limited</w:t>
      </w:r>
    </w:p>
    <w:p>
      <w:pPr>
        <w:spacing w:after="120"/>
      </w:pPr>
      <w:r>
        <w:rPr>
          <w:rFonts w:ascii="Calibri" w:hAnsi="Calibri"/>
          <w:b/>
          <w:color w:val="6E8450"/>
          <w:sz w:val="18"/>
        </w:rPr>
        <w:t>GROWTH SLEEVE · 2026-04-25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Bermuda</w:t>
      </w:r>
    </w:p>
    <w:p>
      <w:pPr>
        <w:spacing w:after="80"/>
      </w:pPr>
      <w:r>
        <w:rPr>
          <w:rFonts w:ascii="Calibri" w:hAnsi="Calibri"/>
          <w:b w:val="0"/>
          <w:color w:val="3A4A28"/>
          <w:sz w:val="20"/>
        </w:rPr>
        <w:t>Valaris is one of the world's largest offshore contract drilling companies, operating a fleet of drillships, semisubmersibles, and jackup rigs serving international oil and gas companies. The company has a 50/50 joint venture with Aramco (ARO Drilling) in Saudi Arabia and maintains a $4.7B contract backlog. Valaris has agreed to a $5.8B acquisition by Transocean, expected to close H2 2026.</w:t>
      </w:r>
    </w:p>
    <w:p>
      <w:r>
        <w:rPr>
          <w:rFonts w:ascii="Calibri" w:hAnsi="Calibri"/>
          <w:b/>
          <w:color w:val="6E8450"/>
          <w:sz w:val="18"/>
        </w:rPr>
        <w:t>3,800 Employees · https://www.valaris.com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Valaris emerged from Chapter 11 bankruptcy in April 2021 and has rebuilt into a $6.3B market cap company with $2.4B in 2025 revenue and a $4.7B backlog, which is a remarkable operational turnaround but not product or business model innovation [1]. Revenue grew from $1.6B (2022) to $2.4B (2025) through fleet reactivation and favorable day rates rather than new product launches. AI Deployment (1/2): The ARO Drilling joint venture equipped nine rigs with ALTAVE's AI monitoring solution for safety and operational excellence, representing tangible AI deployment in drilling operations [2]. Market Share (2/2): Valaris operates one of the world's largest offshore drilling fleets and is the leading jackup operator globally. The pending Transocean merger would create the industry's dominant offshore drilling company [1][2]. Pipeline (0/2): No next-generation rig technology or new capability launches announced; growth is driven by market cycle (benign floater demand up 13% in 2026-2028) and contract wins on existing fleet [1]. R&amp;D Intensity (1/1): Technology investments in rig automation, AI monitoring (ALTAVE partnership), and emissions reduction programs are above-average for offshore drillers.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Valaris states its mission is 'to be the preferred offshore drilling company' with core values emphasizing safety, integrity, and operational excellence [2]. CEO Dibowitz's public statements that 'people remain at the center of the drilling business' and the BOLD (Building Organizational Leadership Development) program focused on safety transparency suggest genuine intentionality beyond boilerplate [2]. However, the purpose remains industry-functional rather than aspirational about a better future. Community Impact (1/2): Valaris provides local employment in the communities where it operates and has been ranked highest among major international offshore drillers by MSCI and Sustainalytics for emissions reporting quality [3]. The company reports Scope 1 and 2 emissions with electrification pilots. Employee Retention (1/2): The BOLD program encourages open conversations about safety and transparency on near-misses, which is Sinek-aligned trust-building behavior. CEO Dibowitz's emphasis on people-centered culture with 3,800 employees in a high-risk industry suggests meaningful safety culture investment [2]. Insider Buying (1/2): Mostly neutral — only stock award grants to executives and one insider sale (COO Luca sold $1.7M in September 2025). No meaningful open-market buying by the CEO or board at current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financial profile across all available metrics. D/E of 36.5% is well below the 70% target, reflecting the clean balance sheet post-bankruptcy emergence [5]. ROE of 36.2% significantly exceeds the 15% target, driven by $982.8M net income (including $680M tax benefit) on an equity base rebuilt since 2021 [1]. Revenue of $2.37B was flat YoY (+0.3%), but the 3-year CAGR of 13.9% from $1.6B (2022) demonstrates the post-emergence growth trajectory. Forward P/E of 13.0x is deeply discounted to the 20x target. Profit margin of 41.5% far exceeds the 20% target, reflecting the inherent operating leverage of offshore drilling at current day rates [5]. PEG ratio unavailable (excluded). Liquidity is excellent at $143M daily traded value. The $4.7B backlog with 97% of 2026 revenue under contract provides exceptional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Valaris demonstrates a mixed infinite game profile. The company's emergence from bankruptcy in 2021 and rapid rebuild to a $4.7B backlog shows organizational resilience, and the BOLD safety program reflects genuine investment in trusting teams [2]. However, the pending Transocean acquisition represents the ultimate finite-game move — selling the company rather than building it to endure independently. Offshore drilling is inherently cyclical, and the company's strategy is oriented toward maximizing the current upcycle through contract wins and fleet utilization rather than building enduring competitive advantages beyond the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Valaris's mission to be 'the preferred offshore drilling company' is functional and industry-specific rather than aspirational about a better future [2]. The emphasis on safety and operational excellence is important in a high-risk industry but doesn't rise to a vision that people would sacrifice to advance. The agreement to sell to Transocean for $5.8B suggests the company's purpose is ultimately maximizing shareholder value rather than pursuing an enduring cause that transcends any single transaction.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BOLD program (Building Organizational Leadership Development) focused on open safety conversations and near-miss transparency is precisely the kind of psychological safety initiative Sinek values [2]. CEO Dibowitz's public emphasis that 'people remain at the center of the drilling business' and the lean 3,800-person workforce operating $6.3B in market value suggest high-trust, high-performance teams. However, the pending Transocean acquisition creates existential uncertainty for employees about their futures, which undermines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Rather than using Transocean as a worthy rival to improve its own capabilities, Valaris is merging with them — eliminating the competitive dynamic entirely [2]. The offshore drilling industry's competitive language is predominantly about rig count, day rates, and utilization — finite metrics focused on winning contracts rather than improving capabilities. No evidence of management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Valaris's emergence from Chapter 11 bankruptcy in 2021 and complete reconstitution as a publicly traded company with a clean balance sheet represents meaningful organizational reinvention driven by necessity rather than just cause [1]. The company rebuilt from near-zero to a $4.7B backlog in under four years. The sustainability initiatives (emissions reduction, electrification pilots) show some adaptation to energy transition pressures. However, the core business model — owning and operating offshore drilling rigs — has not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Navigating the company through bankruptcy emergence and rebuilding to a market-leading position required significant leadership courage from CEO Dibowitz [1]. The investment in fleet reactivation during uncertain market conditions (2021-2022) was a forward-looking bet that paid off as day rates recovered. The BOLD safety program's emphasis on transparency about near-misses represents a cultural investment that prioritizes long-term safety over short-term operational convenience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Valaris is a world-leading offshore contract driller with a $4.7B backlog, $2.37B in 2025 revenue, exceptional 41.5% profit margins, and a clean balance sheet (D/E 36.5%) rebuilt since its 2021 bankruptcy emergence [1][5]. The stock trades at just 6.6x trailing earnings and 13.0x forward earnings, with 97% of 2026 midpoint revenue secured by firm contracts and 2026 guidance of $2.13-2.21B revenue and $485-565M EBITDA [1]. The secular offshore drilling outlook is favorable — benign floater demand projected 13% higher in 2026-2028 vs. 2024-2025, with subsea tree installations (a leading indicator) expected 20%+ higher [1]. The $5.8B Transocean acquisition agreement provides a floor valuation, while industry fundamentals — deepwater project sanctioning growing from ~20 projects (2024) to ~35 by 2028 — support sustained activity [1]. ROE of 36.2% and net income of $982.8M (including tax benefits) demonstrate the operating leverage embedded in the fleet at current day rates.</w:t>
      </w:r>
    </w:p>
    <w:p>
      <w:pPr>
        <w:spacing w:after="120"/>
      </w:pPr>
      <w:r>
        <w:rPr>
          <w:rFonts w:ascii="Calibri" w:hAnsi="Calibri"/>
          <w:b w:val="0"/>
          <w:color w:val="3A4A28"/>
          <w:sz w:val="20"/>
        </w:rPr>
        <w:t>The bear case centers on cyclicality, merger execution risk, and energy transition headwinds. Offshore drilling is one of the most cyclical industries in the economy — the company's 2020 bankruptcy during the COVID oil crash is a reminder that the entire equity value can be destroyed in a downturn [1]. The Transocean merger creates execution risk: regulatory approvals across multiple jurisdictions, integration complexity, and the possibility the deal falls through could create a void in strategic direction. 2026 revenue guidance of $2.13-2.21B represents a potential decline from 2025's $2.37B, and day rates may have peaked for this cycle. The 2025 net income of $982.8M was inflated by a $680M tax benefit, making underlying earnings closer to $300M [1][5]. The energy transition poses a long-term existential question — if oil demand peaks, offshore drilling asset values could experience permanent impairment. No dividend payments reduce the total return proposition to pure capital appreciation, and the merger price provides limited upside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Transocean acquisition at $5.8B expected to close H2 2026, creating the world's largest offshore drilling company and providing merger premium floor to the stock price [2]</w:t>
      </w:r>
    </w:p>
    <w:p>
      <w:pPr>
        <w:spacing w:before="40" w:after="40"/>
        <w:ind w:left="283"/>
      </w:pPr>
      <w:r>
        <w:rPr>
          <w:rFonts w:ascii="Calibri" w:hAnsi="Calibri"/>
          <w:b/>
          <w:color w:val="4A6B25"/>
          <w:sz w:val="20"/>
        </w:rPr>
        <w:t xml:space="preserve">2. </w:t>
      </w:r>
      <w:r>
        <w:rPr>
          <w:rFonts w:ascii="Calibri" w:hAnsi="Calibri"/>
          <w:b w:val="0"/>
          <w:color w:val="3A4A28"/>
          <w:sz w:val="20"/>
        </w:rPr>
        <w:t>Deepwater project sanctioning growth from ~20 projects in 2024 to ~35 by 2028, with subsea tree installations 20%+ higher in 2026-2028, driving sustained rig demand and day rate support [1]</w:t>
      </w:r>
    </w:p>
    <w:p>
      <w:pPr>
        <w:spacing w:before="40" w:after="40"/>
        <w:ind w:left="283"/>
      </w:pPr>
      <w:r>
        <w:rPr>
          <w:rFonts w:ascii="Calibri" w:hAnsi="Calibri"/>
          <w:b/>
          <w:color w:val="4A6B25"/>
          <w:sz w:val="20"/>
        </w:rPr>
        <w:t xml:space="preserve">3. </w:t>
      </w:r>
      <w:r>
        <w:rPr>
          <w:rFonts w:ascii="Calibri" w:hAnsi="Calibri"/>
          <w:b w:val="0"/>
          <w:color w:val="3A4A28"/>
          <w:sz w:val="20"/>
        </w:rPr>
        <w:t>$4.7B backlog with 97% of 2026 revenue under contract provides exceptional earnings visibility, while $900M in new contracts since Q3 2025 demonstrates ongoing market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risk — the $5.8B Transocean deal requires multi-jurisdictional regulatory approval and creates integration uncertainty; deal collapse would leave Valaris without a clear standalone strategic direction [2]</w:t>
      </w:r>
    </w:p>
    <w:p>
      <w:pPr>
        <w:spacing w:before="40" w:after="40"/>
        <w:ind w:left="283"/>
      </w:pPr>
      <w:r>
        <w:rPr>
          <w:rFonts w:ascii="Calibri" w:hAnsi="Calibri"/>
          <w:b/>
          <w:color w:val="4A6B25"/>
          <w:sz w:val="20"/>
        </w:rPr>
        <w:t xml:space="preserve">2. </w:t>
      </w:r>
      <w:r>
        <w:rPr>
          <w:rFonts w:ascii="Calibri" w:hAnsi="Calibri"/>
          <w:b w:val="0"/>
          <w:color w:val="3A4A28"/>
          <w:sz w:val="20"/>
        </w:rPr>
        <w:t>Offshore drilling cyclicality — an oil price decline below $60/bbl or global recession could rapidly erode day rates and utilization, as the 2020 bankruptcy demonstrated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long-term decline in offshore oil and gas exploration as governments and companies shift toward renewable energy could permanently impair the value of Valaris's physical drilling fleet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drilling is a physical-world operation requiring massive capital equipment (drillships, semisubmersibles, jackup rigs), specialized crews, and marine logistics that AI structurally cannot replace [1]. The business is driven by global energy demand, oil prices, and exploration budgets — factors entirely independent of AI disruption. No analysts have identified AI as a substitution risk for offshore contract drilling. AI may actually increase energy demand through data center power requirements, benefiting upstream exploration activity. The company's physical asset base, specialized workforce, and regulatory requirements create impenetrable barriers to AI displacement. AI Opportunity (0/1): Limited AI revenue. The ALTAVE AI monitoring deployment on ARO Drilling's nine rigs is an operational tool rather than a revenue-generating AI product [2]. Valaris does not sell AI services or generate quantifiable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Valaris Q4 2025 Earnings Release — $537.4M Q4 revenue, $2.37B FY2025 revenue, $982.8M net income, $4.7B backlog, 2026 guidance $2.13-2.21B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Valaris Investor Relations — Executive Management, CEO Dibowitz biography, BOLD safety program, Transocean $5.8B acquisition announcement, ALTAVE AI monitoring on ARO Drilling rigs,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Valaris Sustainability Report / ESG Position — MSCI and Sustainalytics highest-ranked offshore driller, Scope 1/2 emissions reporting, electrification pilots,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VAL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VAL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