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VET</w:t>
      </w:r>
      <w:r>
        <w:rPr>
          <w:rFonts w:ascii="Calibri" w:hAnsi="Calibri"/>
          <w:b/>
          <w:color w:val="1A2010"/>
          <w:sz w:val="40"/>
        </w:rPr>
        <w:t xml:space="preserve">  Vermilion Energy Inc.</w:t>
      </w:r>
    </w:p>
    <w:p>
      <w:pPr>
        <w:spacing w:after="120"/>
      </w:pPr>
      <w:r>
        <w:rPr>
          <w:rFonts w:ascii="Calibri" w:hAnsi="Calibri"/>
          <w:b/>
          <w:color w:val="6E8450"/>
          <w:sz w:val="18"/>
        </w:rPr>
        <w:t>GROWTH SLEEVE · 2026-04-16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Canada</w:t>
      </w:r>
    </w:p>
    <w:p>
      <w:pPr>
        <w:spacing w:after="80"/>
      </w:pPr>
      <w:r>
        <w:rPr>
          <w:rFonts w:ascii="Calibri" w:hAnsi="Calibri"/>
          <w:b w:val="0"/>
          <w:color w:val="3A4A28"/>
          <w:sz w:val="20"/>
        </w:rPr>
        <w:t>Vermilion Energy is a diversified international oil and gas producer with operations across North America (Canada), Europe (France, Netherlands, Germany, Ireland, Croatia), and Australia. The company focuses on natural gas-weighted production, delivering record annual production of 121,308 boe/d in Q4 2025, with approximately 85% of capital invested in its global gas portfolio.</w:t>
      </w:r>
    </w:p>
    <w:p>
      <w:r>
        <w:rPr>
          <w:rFonts w:ascii="Calibri" w:hAnsi="Calibri"/>
          <w:b/>
          <w:color w:val="6E8450"/>
          <w:sz w:val="18"/>
        </w:rPr>
        <w:t>636 Employees · https://www.vermilionenergy.com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Vermilion achieved record annual production and sold its U.S. assets to refocus on the international gas portfolio — a strategic repositioning rather than product innovation [1]. Q4 2025 production of 121,308 boe/d exceeded guidance and was up 46% per share YoY, but this reflects acquisition integration, not organic innovation. AI Deployment (0/2): No evidence of AI-powered products or measurable AI-driven operational savings; Vermilion operates a traditional E&amp;P business model with no AI strategy articulated publicly [2]. Market Share (1/2): Vermilion is a meaningful player in European gas production (France, Netherlands, Germany) with a differentiated international footprint that few North American E&amp;P peers match, but it is not a dominant player in any single market [1]. Pipeline (0/2): No next-generation products or transformative business model changes; growth is driven by drilling programs and asset optimization within existing basins [1]. R&amp;D Intensity (1/1): Investment in European gas development and exploration (85% of 2026 capex directed to global gas) represents above-average technical commitment for an E&amp;P of this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Vermilion's stated values of excellence, respect, integrity, and collaboration are generic corporate values interchangeable with any E&amp;P company — there is no articulated mission connecting the company's work to a larger purpose beyond profitable energy production [2]. Community Impact (1/2): Vermilion invests in local communities across its international footprint, maintains sustainability reporting, and achieved CarbonNeutral certification for scope 1 and 2 emissions [3]. However, climate lobbying through CAPP membership and support for long-term fossil gas without CCS conditions creates mixed signals on community and environmental impact. Employee Retention (1/2): CEO Dion Hatcher is a 17-year company veteran promoted internally to CEO in 2023, demonstrating leadership continuity and internal development culture [2]. Small team of 636 employees suggests manageable organizational complexity. Insider Buying (1/2): Insiders have bought more shares than they have sold in the past 3 months, a positive signal for a stock trading below $13 [4]. The 4% planned dividend increase also signals management confidence in cash flow sustainability.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Vermilion passes the liquidity floor ($12.28 × 2.47M avg vol = $30.4M daily). D/E of 58.6% is well within the 70% target, reflecting manageable leverage with $1.3B debt [5]. ROE of -14.5% and profit margin of -38.4% are severely distorted by CAD $572M in non-cash impairment charges on legacy assets in Australia, France, and Ireland — these charges had no impact on cash flow [1]. Underlying operational performance is strong: operating cash flow of $943.7M and free cash flow of $238M demonstrate cash-generating capability [5]. Revenue growth of 9.8% YoY with ~8% 5yr CAGR reflects commodity price volatility [5]. Forward P/E of 11.7x is attractive for the energy sector. The impairment-driven GAAP losses create a misleadingly negative financial picture that penalizes the mechanical score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Vermilion demonstrates mixed infinite game characteristics. The company has operated since 1994 with a long-term orientation toward international gas production, and the recent strategic pivot to focus on the global gas portfolio (divesting U.S. assets) shows purposeful repositioning. However, the oil and gas industry's inherent tension with climate transition, the dividend suspension in 2020, and generic corporate values suggest a company playing a mixed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(1/3). Vermilion does not articulate a Just Cause beyond operational excellence in energy production [2]. The company's values (excellence, respect, integrity, collaboration) are standard corporate fare. The strategic focus on being a 'global gas producer' is a business positioning rather than an aspirational vision. While energy production serves societal needs, Vermilion has not framed its role in terms of advancing a future state that people would sacrifice to achieve.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CEO Dion Hatcher's 17-year tenure at Vermilion (joined 2006, promoted to CEO 2023) demonstrates strong internal development culture and organizational trust [2]. The small team of 636 employees with international operations suggests a lean, empowered organization. Company values emphasize collaboration and community. However, the 2020 CEO departure (Dion's predecessor) and dividend suspension during COVID suggest organizational stress under pressure.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Vermilion positions itself as a differentiated 'global gas producer' competing primarily on geographic diversification and asset quality, but the competitive language centers on being unique rather than learning from rivals [1]. The company's April 2026 investor presentation emphasizes its own international footprint rather than acknowledging what competitors do better. No evidence of management referencing worthy rivals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Vermilion's sale of U.S. assets and strategic pivot to focus ~85% of capital on the global gas portfolio represents meaningful strategic evolution — repositioning from a diversified oil and gas producer to a gas-weighted international player [1]. The company has also adapted by entering European markets, expanding into Australia, and adjusting its portfolio through multiple cycles. However, the core business model (upstream E&amp;P)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The decision to sell U.S. assets and concentrate on international gas operations was a contrarian bet that sacrificed near-term diversification for strategic focus [1]. The 4% dividend increase despite commodity price uncertainty and the CAD $572M impairment charge shows willingness to look through short-term noise. Investing 85% of the 2026 capex budget in gas at a time when gas prices are volatile demonstrates conviction in the long-term gas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Vermilion Energy is a differentiated international gas producer delivering record production of 121,308 boe/d in Q4 2025 (up 46% per share YoY) with a uniquely diversified footprint across Canada, Europe, and Australia [1]. At 11.7x forward P/E with a 3.16% dividend yield and $943.7M operating cash flow, the stock offers compelling value for energy investors seeking gas exposure without pure-play commodity concentration risk [5]. The 2026 budget of CAD $600-630M targeting 118,000-122,000 boe/d production provides clear visibility [1]. Insiders are net buyers, and the 4% planned dividend increase signals management confidence in free cash flow sustainability. The strategic pivot to 85% gas-weighted capital allocation positions Vermilion for the energy transition thesis where gas serves as a bridge fuel [1].</w:t>
      </w:r>
    </w:p>
    <w:p>
      <w:pPr>
        <w:spacing w:after="120"/>
      </w:pPr>
      <w:r>
        <w:rPr>
          <w:rFonts w:ascii="Calibri" w:hAnsi="Calibri"/>
          <w:b w:val="0"/>
          <w:color w:val="3A4A28"/>
          <w:sz w:val="20"/>
        </w:rPr>
        <w:t>The bear case centers on commodity price dependence and GAAP financial distress signals. The CAD $572M impairment charge on legacy assets in Australia, France, and Ireland drove a -CAD $2.86 Q4 EPS loss (vs. $0.30 consensus) and pushed GAAP profit margin to -38.4% and ROE to -14.5% [1][5]. While these are non-cash, they signal write-downs on mature assets that may be declining faster than expected. Revenue has been highly volatile — peaking at $2.49B in 2022 before falling to $1.3B in 2024 — reflecting commodity price dependence. The dividend was suspended in 2020, resetting the payment history to only 3 consecutive years. International operations create geopolitical risk (European energy policy, Australian regulatory changes, French legacy assets) and currency exposure [1]. Climate lobbying through CAPP membership and support for long-term fossil gas without CCS conditions create ESG reputational risk [3]. The $1.3B debt load limits financial flexibility in a prolonged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German production expansion expected mid-2026, supporting production volumes and diversifying the European gas portfolio with high-margin assets [1]</w:t>
      </w:r>
    </w:p>
    <w:p>
      <w:pPr>
        <w:spacing w:before="40" w:after="40"/>
        <w:ind w:left="283"/>
      </w:pPr>
      <w:r>
        <w:rPr>
          <w:rFonts w:ascii="Calibri" w:hAnsi="Calibri"/>
          <w:b/>
          <w:color w:val="4A6B25"/>
          <w:sz w:val="20"/>
        </w:rPr>
        <w:t xml:space="preserve">2. </w:t>
      </w:r>
      <w:r>
        <w:rPr>
          <w:rFonts w:ascii="Calibri" w:hAnsi="Calibri"/>
          <w:b w:val="0"/>
          <w:color w:val="3A4A28"/>
          <w:sz w:val="20"/>
        </w:rPr>
        <w:t>Gas-weighted portfolio benefits from AI-driven electricity demand growth — expanding data center power needs increase natural gas demand for power generation, supporting long-term commodity prices [1]</w:t>
      </w:r>
    </w:p>
    <w:p>
      <w:pPr>
        <w:spacing w:before="40" w:after="40"/>
        <w:ind w:left="283"/>
      </w:pPr>
      <w:r>
        <w:rPr>
          <w:rFonts w:ascii="Calibri" w:hAnsi="Calibri"/>
          <w:b/>
          <w:color w:val="4A6B25"/>
          <w:sz w:val="20"/>
        </w:rPr>
        <w:t xml:space="preserve">3. </w:t>
      </w:r>
      <w:r>
        <w:rPr>
          <w:rFonts w:ascii="Calibri" w:hAnsi="Calibri"/>
          <w:b w:val="0"/>
          <w:color w:val="3A4A28"/>
          <w:sz w:val="20"/>
        </w:rPr>
        <w:t>Share buyback and dividend growth program — 4% planned dividend increase plus ongoing buybacks enhance total shareholder return at a compelling 3.16% current yield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dependence — revenue peaked at $2.49B (2022) and fell to $1.3B (2024); a sustained decline in natural gas prices would compress free cash flow and threaten dividend sustainability [5]</w:t>
      </w:r>
    </w:p>
    <w:p>
      <w:pPr>
        <w:spacing w:before="40" w:after="40"/>
        <w:ind w:left="283"/>
      </w:pPr>
      <w:r>
        <w:rPr>
          <w:rFonts w:ascii="Calibri" w:hAnsi="Calibri"/>
          <w:b/>
          <w:color w:val="4A6B25"/>
          <w:sz w:val="20"/>
        </w:rPr>
        <w:t xml:space="preserve">2. </w:t>
      </w:r>
      <w:r>
        <w:rPr>
          <w:rFonts w:ascii="Calibri" w:hAnsi="Calibri"/>
          <w:b w:val="0"/>
          <w:color w:val="3A4A28"/>
          <w:sz w:val="20"/>
        </w:rPr>
        <w:t>Non-cash impairment charges of CAD $572M on legacy assets suggest declining reserves or unfavorable economics in Australia, France, and Ireland — further write-downs on mature international assets are possible [1]</w:t>
      </w:r>
    </w:p>
    <w:p>
      <w:pPr>
        <w:spacing w:before="40" w:after="40"/>
        <w:ind w:left="283"/>
      </w:pPr>
      <w:r>
        <w:rPr>
          <w:rFonts w:ascii="Calibri" w:hAnsi="Calibri"/>
          <w:b/>
          <w:color w:val="4A6B25"/>
          <w:sz w:val="20"/>
        </w:rPr>
        <w:t xml:space="preserve">3. </w:t>
      </w:r>
      <w:r>
        <w:rPr>
          <w:rFonts w:ascii="Calibri" w:hAnsi="Calibri"/>
          <w:b w:val="0"/>
          <w:color w:val="3A4A28"/>
          <w:sz w:val="20"/>
        </w:rPr>
        <w:t>Geopolitical and regulatory risk across 7+ countries creates operational complexity; European energy policy shifts, carbon taxes, and climate lobbying scrutiny (CAPP membership) could increase costs or restrict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Vermilion's core business is physical extraction and production of oil and natural gas from subsurface reservoirs across multiple international jurisdictions — this involves drilling, operating wells, processing hydrocarbons, and navigating complex international regulatory environments that AI structurally cannot displace [2]. The company's diversified geographic footprint across Canada, France, Netherlands, Germany, Ireland, Croatia, and Australia creates regulatory complexity that further insulates from AI disruption. Increasing AI compute demand actually increases demand for energy (gas-fired power generation), making Vermilion an indirect AI beneficiary. No analysts have flagged AI as a risk to E&amp;P operations. AI Opportunity (0/1): Vermilion does not generate any revenue from AI products or services; AI tools may improve drilling optimization and reservoir modeling but no quantifiable AI revenue contribution exists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Vermilion Energy Q4 2025 Earnings / Q3 2025 Press Release — Record production 121,308 boe/d, CAD $572M impairment, 2026 budget $600-630M, 4% dividend increase, November 2025 / March 2026</w:t>
      </w:r>
    </w:p>
    <w:p>
      <w:pPr>
        <w:spacing w:before="20" w:after="20"/>
        <w:ind w:left="170"/>
      </w:pPr>
      <w:r>
        <w:rPr>
          <w:rFonts w:ascii="Calibri" w:hAnsi="Calibri"/>
          <w:b/>
          <w:color w:val="4A6B25"/>
          <w:sz w:val="15"/>
        </w:rPr>
        <w:t xml:space="preserve">2. </w:t>
      </w:r>
      <w:r>
        <w:rPr>
          <w:rFonts w:ascii="Calibri" w:hAnsi="Calibri"/>
          <w:b w:val="0"/>
          <w:color w:val="3A4A28"/>
          <w:sz w:val="17"/>
        </w:rPr>
        <w:t>Vermilion Energy corporate website — Leadership team (CEO Dion Hatcher), culture and values, about us,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 LobbyMap — Vermilion ESG risk rating Strong, climate lobbying concerns via CAPP membership,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MarketBeat / Simply Wall St — VET insider trading activity, net insider buying in recent months,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VET (Vermilion Energy), retrieved April 16,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