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VFC</w:t>
      </w:r>
      <w:r>
        <w:rPr>
          <w:rFonts w:ascii="Calibri" w:hAnsi="Calibri"/>
          <w:b/>
          <w:color w:val="1A2010"/>
          <w:sz w:val="40"/>
        </w:rPr>
        <w:t xml:space="preserve">  V.F. Corporation</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V.F. Corporation designs, manufactures, and markets branded apparel, footwear, and accessories through iconic brands including The North Face, Vans, Timberland, and Altra. Founded in 1899 and headquartered in Denver, CO, VF operates across Outdoor, Active, and Work segments globally and is executing a multi-year Reinvent transformation program under CEO Bracken Darrell.</w:t>
      </w:r>
    </w:p>
    <w:p>
      <w:r>
        <w:rPr>
          <w:rFonts w:ascii="Calibri" w:hAnsi="Calibri"/>
          <w:b/>
          <w:color w:val="6E8450"/>
          <w:sz w:val="18"/>
        </w:rPr>
        <w:t>16,200 Employees · https://www.vfc.com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VF's Reinvent transformation is early-stage — Q2 FY2026 delivered 2% revenue growth to $2.80B with The North Face up 6% and Timberland up 7%, but Vans declined 9% and overall revenue remains well below the ~$11.8B peak of FY2022 [1]. No transformative new product launches in 5 years; the Dickies sale for $600M is portfolio pruning, not innovation [1]. AI Deployment (1/2): VF has identified 'use-case centric AI' as one of six strategic investment areas under Reinvent, signaling formal commitment, but no shipped AI products or quantified savings have been disclosed [2]. Market Share (1/2): The North Face holds strong positioning in outdoor apparel and Altra grew 35%+ in Q2, but Vans — once the cultural crown jewel — has lost significant market share to competitors like New Balance and On Running [1]. Pipeline (0/2): No next-generation product announcements with specific timelines; the focus is on turnaround execution rather than new category creation [1]. R&amp;D Intensity (1/1): VF invests in product design and materials innovation including recycled polyester (40% of sourcing in FY22) and sustainable materials, above industry average for apparel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VF's purpose is 'We power movements of sustainable and active lifestyles for the betterment of people and our planet,' which is clear and connects business to societal impact but is not deeply distinctive — it reads as a strong CSR statement rather than a transformative cause [3]. Community Impact (2/2): VF's Worker and Community Development program reached 823,000+ people across 11 countries by FY23, on track for its 1 million target by FY26; the company issued the apparel industry's first green bond in 2020 and invested in utility-scale solar projects [3]. Employee Retention (0/2): Glassdoor rating of 3.3/5 with employees citing frequent layoffs, leadership instability, and 'constant cycle of firing and re-hiring' that disrupts stability; no evidence of above-average retention [2]. Insider Buying (1/2): CEO Bracken Darrell holds significant equity compensation ($10.73M total comp, 87.9% in stock/options), aligning his interests with shareholders, but no evidence of meaningful open-market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VF's balance sheet is highly leveraged with D/E of 299.2%, near the scoring floor of 300%, reflecting years of debt-funded acquisitions and the Supreme divestiture aftermath [4]. ROE of 12.9% is below the 15% target but reasonable given the restructuring. Revenue growth has inflected positive at 1.5% YoY in Q2 FY2026, but 5-year CAGR is approximately -4% as revenue declined from ~$11.8B to ~$9.6B [1]. Forward P/E of 15.7x is attractive at 1.0 score. Profit margin of 2.3% is extremely thin, reflecting restructuring charges and the Reinvent program costs [4]. The dividend was slashed from ~$2.00/year to $0.36 in 2024, destroying the growth streak; consecutive years paid remains high (~50+) but 5-year dividend growth CAGR is deeply negative [4]. Liquidity floor cleared: 6.7M avg vol × $16.40 = $110M.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VF Corporation is in transition under Bracken Darrell's Reinvent program, attempting to shift from a bloated conglomerate to a focused brand portfolio company. The 127-year history demonstrates endurance, but the strategic instability of the last 5 years — acquiring Supreme for $2.1B then selling it, divesting Dickies, slashing the dividend — reflects reactive rather than purpose-driven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VF's purpose statement about 'powering movements of sustainable and active lifestyles' is articulated but shallow — it reads as corporate marketing rather than a cause people would sacrifice for [3]. The company's strategic whiplash (buying Supreme in 2020 for $2.1B, selling it in 2023) undermines the credibility of any long-term purpose. The North Face's outdoor mission has genuine cause qualities, but VF at the corporate level lacks a validated, enduring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3.3/5 reflects an adequate but not high-trust environment. Employees praise 'great people and work environment' and CEO Bracken Darrell's frequent communication, but cite frequent layoffs, leadership instability, and a 'constant cycle of firing and re-hiring' that disrupts stability [2]. The appointment of a Chief People Officer from Salesforce signals intent to improve culture, but trust takes years to rebuild after restructuring waves.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VF's competitive language is predominantly finite — focused on market share recovery for Vans and defending The North Face's position against competitors like On Running and Hoka [1]. No evidence of management referencing competitors as worthy rivals whose strengths push VF to improve; the framing is about 'winning back' lost ground rather than learning from rivals' innovations.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VF has shown some flexibility by divesting non-core assets — Supreme, Dickies (pending $600M sale), and earlier Wrangler/Lee spin-off (Kontoor Brands in 2019) [1]. These moves streamline the portfolio, but they appear driven by financial necessity (deleveraging from 299% D/E) rather than a visionary pivot in service of a Just Cause. The Reinvent program is incremental restructuring,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Bracken Darrell showed some courage by slashing the dividend 70%+ to prioritize debt reduction, a painful but necessary decision [1]. The Dickies divestiture for $600M demonstrates willingness to shrink the portfolio for long-term health. However, the broader pattern is correcting past mistakes (Supreme overpayment, excessive leverage) rather than proactively making bold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VF Corporation is a 127-year-old apparel company in turnaround mode under CEO Bracken Darrell's Reinvent program. Q2 FY2026 delivered 2% revenue growth to $2.80B, beating guidance, with The North Face up 6% and Timberland up 7% [1]. Adjusted operating margin expanded 40bps to 11.8%, and the company reduced net debt 21% YoY with the pending Dickies sale ($600M) accelerating deleveraging [1]. At 15.7x forward P/E, VFC is priced for a turnaround with significant upside if Vans stabilizes and margins continue expanding toward medium-term targets. The Altra brand's 35%+ growth rate provides a genuine growth engine within the portfolio [1].</w:t>
      </w:r>
    </w:p>
    <w:p>
      <w:pPr>
        <w:spacing w:after="120"/>
      </w:pPr>
      <w:r>
        <w:rPr>
          <w:rFonts w:ascii="Calibri" w:hAnsi="Calibri"/>
          <w:b w:val="0"/>
          <w:color w:val="3A4A28"/>
          <w:sz w:val="20"/>
        </w:rPr>
        <w:t>The bear case centers on execution risk and structural damage. D/E of 299% remains dangerously elevated even after debt reduction, and the dividend cut from ~$2.00 to $0.36/year signals financial distress that may persist [4]. Vans, once VF's cultural crown jewel, declined 9% in Q2 and has lost significant market share to competitors like On Running, New Balance, and Hoka with no clear path to recovery [1]. Profit margin of 2.3% is razor-thin for an apparel company, leaving no buffer for tariff impacts — management acknowledged mitigation efforts won't fully offset tariff headwinds until FY2027 [1]. Revenue remains ~$2B below FY2022 levels, and the 5-year CAGR of approximately -4% reflects structural brand erosion rather than a cyclical downturn. The Reinvent program must simultaneously fix Vans, deleverage, and invest in growth — a challenging multi-front battle.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Dickies divestiture closing for $600M with proceeds directed to debt paydown, potentially bringing D/E below 250% and restoring financial flexibility [1]</w:t>
      </w:r>
    </w:p>
    <w:p>
      <w:pPr>
        <w:spacing w:before="40" w:after="40"/>
        <w:ind w:left="283"/>
      </w:pPr>
      <w:r>
        <w:rPr>
          <w:rFonts w:ascii="Calibri" w:hAnsi="Calibri"/>
          <w:b/>
          <w:color w:val="4A6B25"/>
          <w:sz w:val="20"/>
        </w:rPr>
        <w:t xml:space="preserve">2. </w:t>
      </w:r>
      <w:r>
        <w:rPr>
          <w:rFonts w:ascii="Calibri" w:hAnsi="Calibri"/>
          <w:b w:val="0"/>
          <w:color w:val="3A4A28"/>
          <w:sz w:val="20"/>
        </w:rPr>
        <w:t>Vans turnaround inflection — management expects 'moderated declines' in H2 FY2026 with potential return to growth in FY2027 as new product lines and marketing campaigns take hold [1]</w:t>
      </w:r>
    </w:p>
    <w:p>
      <w:pPr>
        <w:spacing w:before="40" w:after="40"/>
        <w:ind w:left="283"/>
      </w:pPr>
      <w:r>
        <w:rPr>
          <w:rFonts w:ascii="Calibri" w:hAnsi="Calibri"/>
          <w:b/>
          <w:color w:val="4A6B25"/>
          <w:sz w:val="20"/>
        </w:rPr>
        <w:t xml:space="preserve">3. </w:t>
      </w:r>
      <w:r>
        <w:rPr>
          <w:rFonts w:ascii="Calibri" w:hAnsi="Calibri"/>
          <w:b w:val="0"/>
          <w:color w:val="3A4A28"/>
          <w:sz w:val="20"/>
        </w:rPr>
        <w:t>Altra brand momentum at 35%+ growth rate for three consecutive quarters, providing proof of concept for VF's focused brand strategy under Reinvent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Vans brand erosion continues — the 9% Q2 decline may steepen as On Running, Hoka, and New Balance capture the youth culture market that Vans once owned [1]</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Asian-sourced apparel and footwear could compress gross margins further, with management admitting full mitigation delayed until FY2027 [1]</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at 299% D/E leaves minimal room for error; any revenue shortfall or working capital surprise could trigger covenant stress on $5.3B in total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VF Corporation's core business is designing, manufacturing, and distributing physical apparel and footwear — products that AI cannot substitute. Brand-driven consumer loyalty for The North Face, Vans, and Timberland creates moats that AI cannot replicate [1]. However, AI poses meaningful indirect risks: AI-powered competitors can optimize supply chains, personalize marketing, and accelerate design cycles, potentially eroding VF's competitive position if the company lags in AI adoption. VF's SEC filings cite 'intense competition from online retailers and other direct-to-consumer business risks' as threats [2]. AI Opportunity (1/1): VF has designated 'use-case centric AI' as one of six strategic investment pillars under its Reinvent program, and is deploying AI across integrated business planning and commercial operations, though no specific revenue figures are yet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VF Corporation Q3 FY2026 Press Release — revenue growth, margin expansion, debt reduction, January 28, 2026</w:t>
      </w:r>
    </w:p>
    <w:p>
      <w:pPr>
        <w:spacing w:before="20" w:after="20"/>
        <w:ind w:left="170"/>
      </w:pPr>
      <w:r>
        <w:rPr>
          <w:rFonts w:ascii="Calibri" w:hAnsi="Calibri"/>
          <w:b/>
          <w:color w:val="4A6B25"/>
          <w:sz w:val="15"/>
        </w:rPr>
        <w:t xml:space="preserve">2. </w:t>
      </w:r>
      <w:r>
        <w:rPr>
          <w:rFonts w:ascii="Calibri" w:hAnsi="Calibri"/>
          <w:b w:val="0"/>
          <w:color w:val="3A4A28"/>
          <w:sz w:val="17"/>
        </w:rPr>
        <w:t>VF Corporation Investor Day and Reinvent Program Details — AI strategy, leadership, transformation pillars,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VF Corporation FY2023 Environmental &amp; Social Responsibility Report — ESG targets, worker programs, green bonds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VFC,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