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VGZ</w:t>
      </w:r>
      <w:r>
        <w:rPr>
          <w:rFonts w:ascii="Calibri" w:hAnsi="Calibri"/>
          <w:b/>
          <w:color w:val="1A2010"/>
          <w:sz w:val="40"/>
        </w:rPr>
        <w:t xml:space="preserve">  Vista Gold Corp.</w:t>
      </w:r>
    </w:p>
    <w:p>
      <w:pPr>
        <w:spacing w:after="120"/>
      </w:pPr>
      <w:r>
        <w:rPr>
          <w:rFonts w:ascii="Calibri" w:hAnsi="Calibri"/>
          <w:b/>
          <w:color w:val="6E8450"/>
          <w:sz w:val="18"/>
        </w:rPr>
        <w:t>GROWTH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Vista Gold Corp. is a development-stage gold mining company whose flagship asset is the 100% owned Mt Todd gold project in the Northern Territory, Australia. The project has a 30-year mine life with average annual gold output of 153,000 ounces (years 1-15) and an after-tax NPV of $1.06B at a 5% discount rate.</w:t>
      </w:r>
    </w:p>
    <w:p>
      <w:r>
        <w:rPr>
          <w:rFonts w:ascii="Calibri" w:hAnsi="Calibri"/>
          <w:b/>
          <w:color w:val="6E8450"/>
          <w:sz w:val="18"/>
        </w:rPr>
        <w:t>13 Employees · https://www.vistagold.com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Vista Gold completed a new feasibility study in 2025 supporting a 15,000 tonnes-per-day operation with 30-year mine life, representing meaningful technical progress after years of development [1]. The $44.85M equity raise in March 2026 strengthened the balance sheet for permitting and engineering. However, the company has been a development-stage entity since acquiring Mt Todd with zero revenue generation over the reporting period. AI Deployment (0/2): No AI deployment — Vista Gold is a pre-revenue mining development company with 13 employees. AI is not relevant to the current stage of operations. Market Share (1/2): Mt Todd is one of the largest undeveloped gold projects in Australia, with a 30-year mine life, 153,000 oz/year average production, and $1.06B NPV at 27.8% IRR — a genuinely world-class deposit in a tier-1 jurisdiction [1]. Pipeline (1/2): Clear development pipeline — 2026 priorities include permit modifications (expected approval by year-end), Australia-based team build-out, metallurgical core drilling, and geotechnical drilling on the Batman pit, with detailed engineering decision targeted for mid-2027 [1]. R&amp;D Intensity (0/1): No R&amp;D spend — the company focuses on permitting and feasibility engineering,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Vista Gold's purpose is clear — develop the Mt Todd gold project into a world-class gold mine while maintaining environmental stewardship. The focus on responsible development of a single, high-quality asset is distinctive in the junior mining space [2]. Community Impact (1/2): Vista Gold has established itself as a leader in acid rock drainage management at Mt Todd (a challenge inherited with the project), and environmental stewardship including protection of the Gouldian Finch under Australia's EPBC Act [3]. Small but positive community footprint given the 13-person team. Employee Retention (0/2): Only 13 employees — too small to evaluate retention meaningfully. No Glassdoor data or employee sentiment available. Insider Buying (1/2): CEO Fred Earnest has led the company since 2007 (18+ year tenure) with significant equity exposure, demonstrating long-term commitment [2]. No specific 2026 discretionary buying data found, though the equity raise dilutes existing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 Gold has no revenue, no earnings, and no operating assets — it is a pure development-stage company. Revenue growth is not applicable as total revenue has been $0 across all reporting periods [4]. ROE is -45.4% (losses against declining book value), profit margin is 0% (no revenue to margin against), and forward P/E is -43.2x (expected losses through 2026) [4]. The only financial asset is the $44.85M equity raise providing cash runway for permitting and engineering. Net loss of $7.5M in 2025 on zero revenue represents pure cash burn. D/E is null (minimal/no debt, which is actually positive for a pre-revenue company). Liquidity floor cleared: 2.03M avg volume × $2.16 = $4.4M daily [4]. The scoring algorithm yields 0/10 based on available metrics — only ROE and profit margin are calculable, and both score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Vista Gold under CEO Fred Earnest (18-year tenure) demonstrates extraordinary patience — developing a single gold asset over decades without revenue, weathering commodity cycles, and maintaining environmental stewardship. This patience is the hallmark of infinite-game thinking in mining. However, the company remains pre-revenue after decades of existence, and the just cause of 'developing Mt Todd' is fundamentally a finite objective with a defined endpoint (mine construction).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 Gold's purpose is developing Mt Todd into a world-class, responsibly operated gold mine — a clear objective but inherently finite (the mine will eventually be built or not) [1][2]. The environmental stewardship commitment (acid rock drainage management, Gouldian Finch protection) adds depth, but the cause is project-specific rather than enduring beyond the single asset. CEO Earnest's 18-year dedication demonstrates persistence, but persistence toward a project completion is different from an infinite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13 employees, Vista Gold operates as a small, tight-knit team. CEO Earnest's 18-year tenure and the stability of the executive team suggest adequate trust within the small organization [2]. The company prides itself on a team of 'highly qualified professionals with extensive mining experience.' However, the team is too small to evaluate organizational trust meaningfully — this is essentially a project team, not a company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single-asset development company, Vista Gold doesn't engage in meaningful competitive rivalry. The company competes for investor capital against other junior gold miners but doesn't demonstrate the kind of competitive learning that Sinek values. The narrative focuses on Mt Todd's unique attributes rather than learning from peers'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Vista Gold has been developing Mt Todd for decades with no strategic pivots — the company is a single-asset, single-purpose entity with no evidence of business model evolution or adaptation [1]. The 2025 feasibility study's shift to a smaller 15,000 tpd operation (from previously larger designs) represents modest design optimization, not existential flexibility. The company lacks the diversification or adaptability to pivot if Mt Todd fails.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a development-stage gold company through extended commodity price cycles, raising capital ($44.85M in March 2026) despite sustained losses, and investing in a 30-year mine plan requires genuine conviction [1]. CEO Earnest's willingness to invest through the permitting and engineering phase rather than selling the asset to a major shows long-term commitment. However, the question of whether continuing to burn cash for 18+ years constitutes courage or stubbornness is debatable.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Gold offers leveraged exposure to gold prices through one of the largest undeveloped gold projects in Australia. The 2025 feasibility study confirms Mt Todd's economics: 30-year mine life, 153,000 oz/year average production, $425M initial capital, $1.06B after-tax NPV at 5% discount rate, and 27.8% IRR [1]. At $2.16 per share ($313M market cap), the stock trades at a 70% discount to the project's NPV, providing significant upside if gold prices remain elevated and permitting progresses as planned. The $44.85M equity raise in March 2026 funds the 2026 priority of obtaining permit modifications and building an Australia-based team, with a decision on detailed engineering targeted for mid-2027 [1]. CEO Earnest's 18-year tenure demonstrates alignment with long-term value creation.</w:t>
      </w:r>
    </w:p>
    <w:p>
      <w:pPr>
        <w:spacing w:after="120"/>
      </w:pPr>
      <w:r>
        <w:rPr>
          <w:rFonts w:ascii="Calibri" w:hAnsi="Calibri"/>
          <w:b w:val="0"/>
          <w:color w:val="3A4A28"/>
          <w:sz w:val="20"/>
        </w:rPr>
        <w:t>The bear case is the canonical risk profile of a pre-revenue junior miner. Vista Gold has generated zero revenue over the entire reporting history, lost $7.5M in 2025, and faces years of additional spending before potential first gold production (estimated ~27 months from mid-2027 engineering decision, meaning earliest 2030) [1][4]. The $425M initial capital requirement dwarfs the company's $313M market cap — financing construction will require massive dilution, joint ventures, or streaming deals that could significantly reduce equity value per share. Permitting risk in Australia (EPBC Act, Northern Territory regulations) could delay or derail the project timeline. Gold price sensitivity is extreme — the NPV drops sharply if gold retreats from current levels. With only 13 employees, the company must build an entire operational organization from scratch. The March 2026 equity raise already diluted existing shareholders, and further dilution is virtually certain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Permit modification approvals expected by year-end 2026, clearing the path toward detailed engineering decision in mid-2027 [1]</w:t>
      </w:r>
    </w:p>
    <w:p>
      <w:pPr>
        <w:spacing w:before="40" w:after="40"/>
        <w:ind w:left="283"/>
      </w:pPr>
      <w:r>
        <w:rPr>
          <w:rFonts w:ascii="Calibri" w:hAnsi="Calibri"/>
          <w:b/>
          <w:color w:val="4A6B25"/>
          <w:sz w:val="20"/>
        </w:rPr>
        <w:t xml:space="preserve">2. </w:t>
      </w:r>
      <w:r>
        <w:rPr>
          <w:rFonts w:ascii="Calibri" w:hAnsi="Calibri"/>
          <w:b w:val="0"/>
          <w:color w:val="3A4A28"/>
          <w:sz w:val="20"/>
        </w:rPr>
        <w:t>Gold price strength — at current gold prices, Mt Todd's $1.06B NPV at 27.8% IRR represents a deeply discounted asset relative to the $313M market cap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interest — a world-class, fully permitted gold project with 30-year mine life and 153,000 oz/year output is an attractive target for major gold producers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development stage with $0 revenue, $7.5M annual losses, and years before potential production (earliest ~2030), creating extended cash burn and dilution risk [1][4]</w:t>
      </w:r>
    </w:p>
    <w:p>
      <w:pPr>
        <w:spacing w:before="40" w:after="40"/>
        <w:ind w:left="283"/>
      </w:pPr>
      <w:r>
        <w:rPr>
          <w:rFonts w:ascii="Calibri" w:hAnsi="Calibri"/>
          <w:b/>
          <w:color w:val="4A6B25"/>
          <w:sz w:val="20"/>
        </w:rPr>
        <w:t xml:space="preserve">2. </w:t>
      </w:r>
      <w:r>
        <w:rPr>
          <w:rFonts w:ascii="Calibri" w:hAnsi="Calibri"/>
          <w:b w:val="0"/>
          <w:color w:val="3A4A28"/>
          <w:sz w:val="20"/>
        </w:rPr>
        <w:t>Massive capital requirement ($425M initial capex) relative to $313M market cap — construction financing will require significant dilution, streaming deals, or JV partnerships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in Mt Todd exposes the entire investment to Australian permitting, environmental, and political risks with zero diversification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IMMUNE to AI disruption — physical extraction, processing, and sale of gold from underground deposits cannot be replaced, automated away, or commoditized by artificial intelligence [1]. The value proposition (gold ounces in the ground) is a physical-world asset that AI structurally cannot displace. Rising AI infrastructure demand actually increases electricity consumption and drives inflation hedging, which can benefit gold prices. Mining development requires geological expertise, environmental permitting, and physical construction that are inherently AI-proof. AI Opportunity (1/1): While Vista Gold does not generate AI revenue directly, AI tools can enhance geological modeling, exploration targeting, and mine planning optimization — and the company's 2025 feasibility study likely incorporated computational modeling techniques. The broader AI economy drives demand for commodities including gold (as an inflation hedge and portfolio diversifier).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Gold 2025 Feasibility Study and Q4 2025 Earnings — 15,000 tpd operation, 30-year mine life, 153,000 oz/year, $1.06B NPV, 27.8% IRR, $44.85M equity raise March 2026</w:t>
      </w:r>
    </w:p>
    <w:p>
      <w:pPr>
        <w:spacing w:before="20" w:after="20"/>
        <w:ind w:left="170"/>
      </w:pPr>
      <w:r>
        <w:rPr>
          <w:rFonts w:ascii="Calibri" w:hAnsi="Calibri"/>
          <w:b/>
          <w:color w:val="4A6B25"/>
          <w:sz w:val="15"/>
        </w:rPr>
        <w:t xml:space="preserve">2. </w:t>
      </w:r>
      <w:r>
        <w:rPr>
          <w:rFonts w:ascii="Calibri" w:hAnsi="Calibri"/>
          <w:b w:val="0"/>
          <w:color w:val="3A4A28"/>
          <w:sz w:val="17"/>
        </w:rPr>
        <w:t>Vista Gold corporate website — executive management (CEO Fred Earnest, 18-year tenure), environmental stewardship, Mt Todd overview</w:t>
      </w:r>
    </w:p>
    <w:p>
      <w:pPr>
        <w:spacing w:before="20" w:after="20"/>
        <w:ind w:left="170"/>
      </w:pPr>
      <w:r>
        <w:rPr>
          <w:rFonts w:ascii="Calibri" w:hAnsi="Calibri"/>
          <w:b/>
          <w:color w:val="4A6B25"/>
          <w:sz w:val="15"/>
        </w:rPr>
        <w:t xml:space="preserve">3. </w:t>
      </w:r>
      <w:r>
        <w:rPr>
          <w:rFonts w:ascii="Calibri" w:hAnsi="Calibri"/>
          <w:b w:val="0"/>
          <w:color w:val="3A4A28"/>
          <w:sz w:val="17"/>
        </w:rPr>
        <w:t>Vista Gold ESG and environmental reports — acid rock drainage management, Gouldian Finch protection under EPBC Act, environmental program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VGZ (Vista Gold Corp.),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