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VG</w:t>
      </w:r>
      <w:r>
        <w:rPr>
          <w:rFonts w:ascii="Calibri" w:hAnsi="Calibri"/>
          <w:b/>
          <w:color w:val="1A2010"/>
          <w:sz w:val="40"/>
        </w:rPr>
        <w:t xml:space="preserve">  Venture Global,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Midstream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Venture Global is a U.S. LNG (liquefied natural gas) company operating two facilities on the Louisiana Gulf Coast: Calcasieu Pass (now operational) and Plaquemines LNG (commissioning). The company generated $13.8B in revenue in 2025 (+177% YoY) and Consolidated Adjusted EBITDA of $6.3B (+198% YoY), driven by record LNG cargo exports. The company completed its NYSE IPO in early 2025 and is constructing CP2 Phase I with first production targeted for late 2027.</w:t>
      </w:r>
    </w:p>
    <w:p>
      <w:r>
        <w:rPr>
          <w:rFonts w:ascii="Calibri" w:hAnsi="Calibri"/>
          <w:b/>
          <w:color w:val="6E8450"/>
          <w:sz w:val="18"/>
        </w:rPr>
        <w:t>800 Employees · https://www.ventureglobal.com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Venture Global's modular, mid-scale LNG technology is a genuine engineering innovation — its Calcasieu Pass facility used a factory-built modular approach that significantly reduced construction costs and timelines versus traditional large-scale LNG trains [1]. The company exported a record 380 cargos and 1,409 TBtu of LNG in 2025, demonstrating operational execution at scale [1]. The CP2 Phase I project ($20B+ capex) and Plaquemines Phase II represent a visible, specific growth pipeline with named assets and development timelines [1]. However, VG has no AI deployment and limited technology differentiation beyond the modular construction approach.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Venture Global's mission — providing affordable, reliable U.S. LNG to global partners — connects to energy security and price stability for European and Asian allies. However, the company's ongoing multi-billion dollar disputes with BP, Shell, and other foundation buyers over commissioning cargo payments severely undermine its trustworthiness as a partner [2]. This is the defining inspiration concern: a company that disputes contracts with its founding customers does not reflect integrity-based leadership, regardless of financial performance.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Venture Global generated $13.8B revenue (+177% YoY) with $6.3B EBITDA and $2.3B net income in 2025 [1]. The 2026 EBITDA guidance of $5.2–5.8B is an 11% decline from 2025 peak due to maintenance cycles and ramp-up costs — a modest step back amid heavy ongoing construction capex. Revenue growth of 177% qualifies for Growth sleeve. The company carries significant debt from LNG facility construction, and the BP litigation creates contingent liability risk. Liquidity floor check: ~$14.50 × ~5M volume = &gt;$1M — passes.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Venture Global's dispute with BP and other foundation buyers over commissioning cargo payments is the defining infinite-game failure — the company prioritized near-term profit maximization over the long-term trust required to build the world's largest LNG franchise. Sinek would identify this as a company that sacrificed worthy rivals (who could have been partners) for short-term gain, fundamentally compromising its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Venture Global's stated cause — providing U.S. LNG to improve global energy security — is genuine and aligns with a significant geopolitical need [1]. However, the multi-billion dollar disputes with BP and other foundation buyers, who contracted on the basis of LNG supply commitments, directly contradict a cause built on trusted supply relationships.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achieved record LNG production and cargo volumes in 2025 with a relatively small workforce of ~800 employees, suggesting strong operational execution. However, limited public information on employee culture and the founder-controlled governance structure limit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Venture Global's disputes with its own foundation buyers (BP, Shell) — who were supposed to be long-term partners, not rivals — reflect a fundamentally adversarial view of commercial relationships that is antithetical to Sinek's worthy rivals concept.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modular LNG approach that reduced construction costs versus traditional mega-projects was a genuine strategic innovation. The company's ability to execute spot market sales during commissioning while disputing long-term commitments shows operational flexibility, even if ethically questionable.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dispute commissioning cargo agreements with foundation buyers (who built their own LNG import infrastructure expecting VG supply) was financially opportunistic rather than courageous. It prioritized near-term spot market revenue over long-term partnership credibility.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Venture Global has executed one of the most rapid LNG scale-ups in U.S. history, growing revenue 177% to $13.8B in 2025 while exporting a record 380 cargos [1]. The 2026 EBITDA guidance of $5.2–5.8B at a market cap of roughly $30B (8x forward earnings) appears attractive, and the long-term contracted capacity of ~9.75 MTPA from recent deals provides multi-year visibility [1]. Plaquemines Phase I commercial operation in Q4 2026 and Phase II in mid-2027 represent a clear production ramp that could double EBITDA by 2028. European and Asian LNG demand remains structurally elevated as countries diversify away from Russian supply.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BP litigation is the primary existential risk — Venture Global disputes with its foundation buyers could result in billion-dollar damage awards that impair liquidity and destroy the long-term commercial relationships required to fill CP2 and future capacity [2]. The 'Venture Global Discount' is visible in the stock's underperformance versus peers: Morgan Stanley initiated with Underweight, JPMorgan downgraded, reflecting analyst skepticism about contractual integrity [2]. The 11% projected EBITDA decline in 2026 versus 2025 signals the revenue cycle has peaked near term, and $175–185B in 2026 capex for ongoing construction creates continuous balance sheet pressure.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Plaquemines Phase I commercial operation declaration in Q4 2026 — triggers contracted revenue from long-term SPAs and removes the commissioning/startup uncertainty that has driven the 'VG Discount'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BP quantum hearing resolution: a settlement or favorable ruling eliminates the largest contingent liability and would likely catalyze a significant stock re-rating from the current depressed level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long-term SPA signings: total contracted capacity growing beyond 70% of 2026 production provides earnings visibility and validates the commercial strategy for CP2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BP and foundation buyer litigation: losing the quantum hearing could require $2–5B in damages, potentially triggering covenant violations on construction debt and requiring dilutive equity raises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Plaquemines execution risk: Phase I COD target of Q4 2026 is critical for triggering contracted SPA revenue — any delay extends the commissioning/spot-only revenue period and maintains discount valuation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LNG price compression: European TTF natural gas prices have moderated and new LNG supply from Qatar, Australia, and Mozambique is coming online — sustained TTF below $8/MMBtu would compress VG's spot market margins materially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LNG production and export is a physical-world infrastructure business that AI cannot displace — natural gas demand, liquefaction processing, and maritime shipping are all physical processes [1]. AI is a tailwind for VG: data center buildouts driving electricity demand increase natural gas consumption, directly benefiting U.S. LNG exporters. The company's long-term SPAs with Hanwha Aerospace and other counterparties provide revenue visibility that insulates earnings from near-term disruption. VG generates no AI revenue directly.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Venture Global Q4 and Full Year 2025 Earnings Release, March 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 — Venture Global Targets $5.2B-$5.8B EBITDA in 2026,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FinancialContent — The High-Stakes Disruptor: A Deep Dive into Venture Global in 2026, March 23,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