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VICI</w:t>
      </w:r>
      <w:r>
        <w:rPr>
          <w:rFonts w:ascii="Calibri" w:hAnsi="Calibri"/>
          <w:b/>
          <w:color w:val="1A2010"/>
          <w:sz w:val="40"/>
        </w:rPr>
        <w:t xml:space="preserve">  VICI Properties Inc.</w:t>
      </w:r>
    </w:p>
    <w:p>
      <w:pPr>
        <w:spacing w:after="120"/>
      </w:pPr>
      <w:r>
        <w:rPr>
          <w:rFonts w:ascii="Calibri" w:hAnsi="Calibri"/>
          <w:b/>
          <w:color w:val="6E8450"/>
          <w:sz w:val="18"/>
        </w:rPr>
        <w:t>DIVIDEND SLEEVE · 2026-03-27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VICI Properties is an S&amp;P 500 experiential real estate investment trust that owns one of the largest portfolios of market-leading gaming, hospitality, wellness, entertainment, and leisure destinations. The company's properties include Caesars Palace, MGM Grand, and other iconic Las Vegas assets under very long-term triple-net leases with built-in annual escalators.</w:t>
      </w:r>
    </w:p>
    <w:p>
      <w:r>
        <w:rPr>
          <w:rFonts w:ascii="Calibri" w:hAnsi="Calibri"/>
          <w:b/>
          <w:color w:val="6E8450"/>
          <w:sz w:val="18"/>
        </w:rPr>
        <w:t>28 Employees · https://www.viciproperties.com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VICI's innovation lies in its business model rather than technology — the company created the experiential REIT category and pioneered long-term triple-net gaming leases with built-in CPI-linked escalators [1]. The November 2025 acquisition of seven Golden Entertainment casino properties for $1.16B demonstrates continued deal-making capability. VICI's expansion beyond pure gaming into 'non-traditional investments' shows portfolio diversification intent. However, as a 28-employee entity, VICI is an asset-holding vehicle rather than an operating innovator, and the core business model of collecting rent from gaming tenants is inherently simple.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VICI's 28-employee structure means inspiration is concentrated in executive leadership rather than a broad organizational culture. The company's mission centers on owning and developing experiential real estate, which connects to leisure and entertainment as fundamental human needs [1]. VICI has earned an S&amp;P 500 inclusion and established itself as a category creator in experiential REITs. However, the gaming-centric portfolio carries social stigma for some investors, and the company's tenant concentration (Caesars, MGM) limits cultural diversity.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 delivers exceptional financial metrics for a REIT: 69.3% profit margin, 10.2% ROE, and D/E of 62.7% — manageable for a real estate vehicle [4]. Forward P/E of 9.3 is attractively valued, and the 6.56% dividend yield with a 67.6% payout ratio is well-covered by AFFO. Revenue grew 3.8% YoY to $1B quarterly. However, the company faces $1.75B in debt maturities in 2026 requiring refinancing, and the AFFO guidance of $2.42-$2.45/share was below the $2.66 consensus, creating near-term earnings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VICI demonstrates infinite game characteristics through its very long-term lease structure (~30-year terms), willingness to create an entirely new REIT category, and diversification beyond pure gaming. However, the company's dependence on a small number of gaming tenants and the cyclical nature of leisure spending create concentration risks that finite-minded investors constantly monitor.</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VICI's purpose centers on owning market-leading experiential properties that provide entertainment, hospitality, and leisure — connecting to fundamental human desires for experiences and community [1]. The creation of the experiential REIT category was visionary. However, the gaming-centric portfolio raises questions about social impact, and the company's cause is primarily financial (stable, growing distributions) rather than transcendent.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28 employees, VICI operates as a tight-knit deal-making team with exceptional per-capita value creation ($29B market cap / 28 employees). The team's ability to execute the $1.16B Golden Entertainment acquisition and manage a $17.1B debt structure with 28 people demonstrates extraordinary capability and trust. However, the tiny team creates key-person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 competes against Gaming and Leisure Properties (GLPI) and Realty Income in the experiential/net-lease REIT space. The company's shift toward non-gaming tenants shows learning from diversified REIT rivals like Realty Income. However, VICI's competitive positioning relies heavily on its Las Vegas Strip asset quality rather than operational innovation or tenant diversification.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 was created from Caesars Entertainment's 2017 bankruptcy, demonstrating the ability to build a premier REIT from distressed assets [1]. The planned diversification into non-gaming experiential assets shows willingness to evolve beyond the founding thesis. The long-term lease structure (~30 years) with built-in escalators provides inherent future flexibility. However, the gaming-heavy portfolio is difficult to diversify quickly given asset sizes.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 created the experiential REIT category — a genuinely novel capital markets innovation [1]. The $2.1B in new 2025 commitments and $1.16B Golden Entertainment acquisition during an uncertain interest rate environment show continued deal-making courage. Guiding $2.42-$2.45 AFFO/share below consensus rather than stretching to meet expectations demonstrates honest forward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VICI Properties offers a compelling income thesis with a 6.56% dividend yield growing at ~8% annually, backed by ~30-year triple-net leases with CPI-linked escalators from creditworthy gaming tenants (Caesars, MGM, Hard Rock) [1]. At 9.3x forward P/E with 69.3% profit margins, the stock is attractively valued for a REIT with S&amp;P 500 inclusion and $29B market cap. The Golden Entertainment acquisition ($87M annual rent from $1.16B investment) demonstrates continued accretive deal-making, and the planned non-gaming diversification could earn a re-rating from income investors who currently avoid gaming exposure. AFFO per share grew 5.3% in recent quarters with a clear path to ~4% annual growth.</w:t>
      </w:r>
    </w:p>
    <w:p>
      <w:pPr>
        <w:spacing w:after="120"/>
      </w:pPr>
      <w:r>
        <w:rPr>
          <w:rFonts w:ascii="Calibri" w:hAnsi="Calibri"/>
          <w:b w:val="0"/>
          <w:color w:val="3A4A28"/>
          <w:sz w:val="20"/>
        </w:rPr>
        <w:t>The bear case includes the 2026 AFFO guidance of $2.42-$2.45/share falling below the $2.66 consensus, creating near-term earnings disappointment [1]. VICI faces $1.75B in debt maturities in 2026 that must be refinanced in an uncertain rate environment, and the $17.1B total debt load amplifies refinancing cost sensitivity. Questions around Caesars' regional casino portfolio and softer Las Vegas leisure trends weigh on the valuation multiple. Gaming-sector concentration means VICI's fate is tied to a narrow industry, and the Inspire Insight MISALIGNED rating (-65 for Gambling and Sexually Explicit content) limits the shareholder base for faith-aligned investors. The shift toward non-traditional investments introduces new risks as VICI expands beyond its core gaming real estate competency.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Golden Entertainment acquisition generating $87M annual rent from a $1.16B investment, providing immediate AFFO accretion [1]</w:t>
      </w:r>
    </w:p>
    <w:p>
      <w:pPr>
        <w:spacing w:before="40" w:after="40"/>
        <w:ind w:left="283"/>
      </w:pPr>
      <w:r>
        <w:rPr>
          <w:rFonts w:ascii="Calibri" w:hAnsi="Calibri"/>
          <w:b/>
          <w:color w:val="4A6B25"/>
          <w:sz w:val="20"/>
        </w:rPr>
        <w:t xml:space="preserve">2. </w:t>
      </w:r>
      <w:r>
        <w:rPr>
          <w:rFonts w:ascii="Calibri" w:hAnsi="Calibri"/>
          <w:b w:val="0"/>
          <w:color w:val="3A4A28"/>
          <w:sz w:val="20"/>
        </w:rPr>
        <w:t>Built-in CPI-linked annual rent escalators across the ~30-year lease portfolio providing organic AFFO growth regardless of deal activity [1]</w:t>
      </w:r>
    </w:p>
    <w:p>
      <w:pPr>
        <w:spacing w:before="40" w:after="40"/>
        <w:ind w:left="283"/>
      </w:pPr>
      <w:r>
        <w:rPr>
          <w:rFonts w:ascii="Calibri" w:hAnsi="Calibri"/>
          <w:b/>
          <w:color w:val="4A6B25"/>
          <w:sz w:val="20"/>
        </w:rPr>
        <w:t xml:space="preserve">3. </w:t>
      </w:r>
      <w:r>
        <w:rPr>
          <w:rFonts w:ascii="Calibri" w:hAnsi="Calibri"/>
          <w:b w:val="0"/>
          <w:color w:val="3A4A28"/>
          <w:sz w:val="20"/>
        </w:rPr>
        <w:t>Planned diversification into non-gaming experiential assets could attract income investors currently avoiding gaming exposure, supporting valuation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$1.75B in 2026 debt maturities requiring refinancing — higher rates would directly pressure AFFO and dividend coverage ratios [1]</w:t>
      </w:r>
    </w:p>
    <w:p>
      <w:pPr>
        <w:spacing w:before="40" w:after="40"/>
        <w:ind w:left="283"/>
      </w:pPr>
      <w:r>
        <w:rPr>
          <w:rFonts w:ascii="Calibri" w:hAnsi="Calibri"/>
          <w:b/>
          <w:color w:val="4A6B25"/>
          <w:sz w:val="20"/>
        </w:rPr>
        <w:t xml:space="preserve">2. </w:t>
      </w:r>
      <w:r>
        <w:rPr>
          <w:rFonts w:ascii="Calibri" w:hAnsi="Calibri"/>
          <w:b w:val="0"/>
          <w:color w:val="3A4A28"/>
          <w:sz w:val="20"/>
        </w:rPr>
        <w:t>Tenant concentration risk with Caesars and MGM representing the majority of rent revenue — any single tenant's financial distress could materially impact VICI</w:t>
      </w:r>
    </w:p>
    <w:p>
      <w:pPr>
        <w:spacing w:before="40" w:after="40"/>
        <w:ind w:left="283"/>
      </w:pPr>
      <w:r>
        <w:rPr>
          <w:rFonts w:ascii="Calibri" w:hAnsi="Calibri"/>
          <w:b/>
          <w:color w:val="4A6B25"/>
          <w:sz w:val="20"/>
        </w:rPr>
        <w:t xml:space="preserve">3. </w:t>
      </w:r>
      <w:r>
        <w:rPr>
          <w:rFonts w:ascii="Calibri" w:hAnsi="Calibri"/>
          <w:b w:val="0"/>
          <w:color w:val="3A4A28"/>
          <w:sz w:val="20"/>
        </w:rPr>
        <w:t>Gaming industry slowdown risk from softer consumer spending or Las Vegas leisure trend weakness would pressure tenant rental coverage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VICI owns physical real estate — casinos, hotels, and entertainment venues — that cannot be digitized or disrupted by AI [1]. The experiential nature of gaming (in-person entertainment, dining, shows) is fundamentally human and resistant to virtual substitution. Online gambling expansion is growing the total gaming revenue pie rather than cannibalizing physical casino revenue, benefiting VICI's tenants [1]. AI could enhance property management and guest experience optimization, but VICI's triple-net lease structure means tenants bear operational costs. The 28-employee company has minimal AI exposure in its own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VICI Properties Q4 2025 Earnings and FY 2026 AFFO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VICI Properties corporate profile and Golden Entertainment acquisition,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VICI Properties SWOT analysis and market positioning,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VICI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