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VISN</w:t>
      </w:r>
      <w:r>
        <w:rPr>
          <w:rFonts w:ascii="Calibri" w:hAnsi="Calibri"/>
          <w:b/>
          <w:color w:val="1A2010"/>
          <w:sz w:val="40"/>
        </w:rPr>
        <w:t xml:space="preserve">  Vistance Networks, Inc.</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Vistance Networks (formerly CommScope) provides infrastructure solutions for communications, data center, and entertainment networks. The company operates two segments: RUCKUS (enterprise Wi-Fi, IoT, indoor cellular) and Aurora Networks (cable modem termination, video infrastructure, cloud solutions for broadband operators). Renamed from CommScope in January 2026 following the divestiture of its Connectivity &amp; Cable Solutions segment to Amphenol.</w:t>
      </w:r>
    </w:p>
    <w:p>
      <w:r>
        <w:rPr>
          <w:rFonts w:ascii="Calibri" w:hAnsi="Calibri"/>
          <w:b/>
          <w:color w:val="6E8450"/>
          <w:sz w:val="18"/>
        </w:rPr>
        <w:t>4,500 Employees · https://www.vistancenetworks.com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Vistance executed a transformative divestiture of its CCS segment to Amphenol, refocusing the company on high-growth networking (RUCKUS and Aurora). FY2025 core revenue grew 40% with a 176% adjusted EBITDA increase, demonstrating the pivot is working [1]. AI Deployment (1/2): The RUCKUS AI platform is shipping — LAFC's BMO Stadium deployed Wi-Fi 7 with autonomous AI-managed networking in February 2026, but AI revenue is not yet separately quantified [2]. Market Share (1/2): RUCKUS is a meaningful enterprise Wi-Fi player but not the category leader; Cisco and Aruba dominate. Aurora holds a position in cable infrastructure but faces secular headwinds as operators transition to fiber [1]. Pipeline (1/2): Wi-Fi 7 product line and cloud-native vCMTS solutions are in market, but specific next-gen launch timelines and revenue visibility are limited beyond current product refreshes [2]. R&amp;D Intensity (0/1): No evidence of above-average R&amp;D spending relative to communication equipment peers; the company is focused on operational efficiency post-divestiture.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Vistance's sustainability page states a commitment to 'generating lasting value for stakeholders and communities' and integrating sustainability principles, but this is generic corporate language interchangeable with any infrastructure company [3]. No distinctive purpose beyond standard industry platitudes. Community Impact (1/2): The company references supply chain responsibility including Modern Slavery compliance and environmental stewardship commitments, but no specific charitable programs, foundation, or dollar amounts for community investment were identified [3]. Employee Retention (0/2): No publicly available data on employee tenure, voluntary turnover, or cultural indicators for the post-restructuring entity. A workforce reduced to 4,500 employees suggests significant layoffs during the CommScope-to-Vistance transition. Insider Buying (1/2): CEO Chuck Treadway holds 1.49% of shares worth $62M, indicating meaningful personal stake, though no net insider purchases were recorded in the last 6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Vistance passes the liquidity floor (4.27M avg volume × $18.35 = $78.4M daily). Forward P/E of 18.9x is attractive for a 40% revenue grower. However, the balance sheet is severely leveraged at 2,669% D/E — a legacy of CommScope's debt load — which zeroes out the debt metric entirely. Profit margin of just 1.18% reflects the company's early-stage profitability post-restructuring; FY2025 net income of $2.28B was inflated by the CCS divestiture gain, masking thin operating margins on the remaining business [1]. Revenue growth YoY of 39.7% ($1.93B vs $1.38B in 2024) is strong but partially reflects the depressed 2024 base during the divestiture transition. ROE and PEG unavailable due to restructuring distortions. Infrastructure score calculated on available metrics: D/E (0.0), Rev Growth YoY (1.0), Forward P/E (1.0), Profit Margin (0.06) = 2.06/4 × 10 = 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Vistance Networks is a recently restructured entity focused on near-term operational efficiency and debt reduction rather than long-term purpose. The January 2026 rebrand and CCS divestiture represent financial engineering to unlock value, not a mission-driven transformation. The planned $10/share special distribution signals a finite mindset prioritizing immediate shareholder returns over reinvestment.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Vistance articulates no compelling vision of a better future. The company's messaging centers on operational efficiency, margin improvement, and shareholder returns. The rebrand from CommScope to Vistance appears driven by financial restructuring rather than a renewed sense of purpose. No evidence that leadership references a cause in strategic decisions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Chuck Treadway has 5+ years of tenure and the board averages 12 years, providing leadership stability. However, the dramatic workforce reduction (from ~30,000 at CommScope to 4,500 at Vistance) likely undermined organizational trust. No evidence of exceptional cultural practices or employee empowerment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Competitive language focuses on market positioning and product differentiation rather than learning from rivals like Cisco, Aruba, or Arista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CCS divestiture to Amphenol and rebrand as Vistance represents meaningful strategic flexibility — the company shed a major business segment to focus on higher-growth networking. However, this was driven by financial necessity (massive debt load, years of losses) rather than proactive cause-driven transformation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CCS and refocus required leadership conviction, and the 40% core revenue growth validates the strategic choice. However, the planned $10/share special distribution ($2.3B) while carrying extreme debt suggests short-term shareholder appeasement over long-term balance sheet repair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Vistance Networks is a turnaround story with genuine upside potential. The CCS divestiture refocused the company on its two highest-growth segments — RUCKUS (enterprise Wi-Fi/IoT) and Aurora (broadband infrastructure) — delivering 40% core revenue growth and 176% adjusted EBITDA improvement in FY2025 [1]. Forward P/E of 18.9x is reasonable for a company with this growth trajectory, and the RUCKUS AI platform positions Vistance in the expanding enterprise networking market. Analyst consensus EPS of $1.55 for 2026 with a $23.50 price target implies 28% upside [1]. Wi-Fi 7 adoption and AI-driven data center demand provide secular tailwinds for both segments.</w:t>
      </w:r>
    </w:p>
    <w:p>
      <w:pPr>
        <w:spacing w:after="120"/>
      </w:pPr>
      <w:r>
        <w:rPr>
          <w:rFonts w:ascii="Calibri" w:hAnsi="Calibri"/>
          <w:b w:val="0"/>
          <w:color w:val="3A4A28"/>
          <w:sz w:val="20"/>
        </w:rPr>
        <w:t>The bear case centers on the crushing debt burden — D/E of 2,669% is among the highest of any publicly traded tech company and creates existential refinancing risk if interest rates remain elevated. Profit margins of just 1.18% leave no room for execution missteps. The planned $10/share special distribution depletes cash that could accelerate debt reduction. Aurora's cable infrastructure faces secular headwinds as operators migrate to fiber, potentially shrinking one of only two revenue streams. The company's forecasted annual earnings growth of -84.6% (per analyst estimates) reflects the unsustainability of FY2025's divestiture-inflated earnings [1]. With only 4,500 employees, operational capacity is thin for a company with $1.9B in revenue across global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Wi-Fi 7 enterprise adoption cycle driving RUCKUS revenue growth, demonstrated by marquee deployments like LAFC's BMO Stadium [2]</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demand increasing Aurora connectivity product sales as hyperscalers expand infrastructure [1]</w:t>
      </w:r>
    </w:p>
    <w:p>
      <w:pPr>
        <w:spacing w:before="40" w:after="40"/>
        <w:ind w:left="283"/>
      </w:pPr>
      <w:r>
        <w:rPr>
          <w:rFonts w:ascii="Calibri" w:hAnsi="Calibri"/>
          <w:b/>
          <w:color w:val="4A6B25"/>
          <w:sz w:val="20"/>
        </w:rPr>
        <w:t xml:space="preserve">3. </w:t>
      </w:r>
      <w:r>
        <w:rPr>
          <w:rFonts w:ascii="Calibri" w:hAnsi="Calibri"/>
          <w:b w:val="0"/>
          <w:color w:val="3A4A28"/>
          <w:sz w:val="20"/>
        </w:rPr>
        <w:t>Planned $10/share special distribution providing near-term shareholder value (55% of current share price)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2,669% D/E creates refinancing risk — a credit downgrade or rising rates could make the debt load unsustainable [4]</w:t>
      </w:r>
    </w:p>
    <w:p>
      <w:pPr>
        <w:spacing w:before="40" w:after="40"/>
        <w:ind w:left="283"/>
      </w:pPr>
      <w:r>
        <w:rPr>
          <w:rFonts w:ascii="Calibri" w:hAnsi="Calibri"/>
          <w:b/>
          <w:color w:val="4A6B25"/>
          <w:sz w:val="20"/>
        </w:rPr>
        <w:t xml:space="preserve">2. </w:t>
      </w:r>
      <w:r>
        <w:rPr>
          <w:rFonts w:ascii="Calibri" w:hAnsi="Calibri"/>
          <w:b w:val="0"/>
          <w:color w:val="3A4A28"/>
          <w:sz w:val="20"/>
        </w:rPr>
        <w:t>Aurora segment faces secular decline as cable operators migrate to fiber-based broadband, potentially shrinking half of Vistance's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Thin 1.18% profit margin leaves no buffer for competitive pricing pressure, supply chain disruptions, or macroeconomic slowdown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Vistance operates in physical network infrastructure — Wi-Fi access points, cable modem termination systems, and distribution equipment — which AI cannot directly substitute. However, the company faces exposure through its customers: cable operators and enterprises may see AI-driven software-defined networking reduce dependence on proprietary hardware over time. The Aurora segment's legacy cable infrastructure faces secular decline as operators shift to fiber and software-based solutions [1]. AI Opportunity (1/1): The RUCKUS AI platform is shipping and managing real-world deployments like LAFC's Wi-Fi 7 stadium network. Cloud-native vCMTS solutions leverage AI for network optimization. Management expects AI-driven data center demand to benefit Aurora's connectivity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Vistance Networks FY2025 Full Year Results — 40% core revenue growth, 176% EBITDA increase, $10/share special distribution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LAFC AI-managed Wi-Fi 7 rollout with RUCKUS, CEO tenure and insider ownership analysis, March 2026</w:t>
      </w:r>
    </w:p>
    <w:p>
      <w:pPr>
        <w:spacing w:before="20" w:after="20"/>
        <w:ind w:left="170"/>
      </w:pPr>
      <w:r>
        <w:rPr>
          <w:rFonts w:ascii="Calibri" w:hAnsi="Calibri"/>
          <w:b/>
          <w:color w:val="4A6B25"/>
          <w:sz w:val="15"/>
        </w:rPr>
        <w:t xml:space="preserve">3. </w:t>
      </w:r>
      <w:r>
        <w:rPr>
          <w:rFonts w:ascii="Calibri" w:hAnsi="Calibri"/>
          <w:b w:val="0"/>
          <w:color w:val="3A4A28"/>
          <w:sz w:val="17"/>
        </w:rPr>
        <w:t>Vistance Networks Sustainability Page — ESG commitments, supply chain responsibility, environmental stewardship</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VISN (Vistance Networks),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