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VLY</w:t>
      </w:r>
      <w:r>
        <w:rPr>
          <w:rFonts w:ascii="Calibri" w:hAnsi="Calibri"/>
          <w:b/>
          <w:color w:val="1A2010"/>
          <w:sz w:val="40"/>
        </w:rPr>
        <w:t xml:space="preserve">  Valley National Bancorp</w:t>
      </w:r>
    </w:p>
    <w:p>
      <w:pPr>
        <w:spacing w:after="120"/>
      </w:pPr>
      <w:r>
        <w:rPr>
          <w:rFonts w:ascii="Calibri" w:hAnsi="Calibri"/>
          <w:b/>
          <w:color w:val="6E8450"/>
          <w:sz w:val="18"/>
        </w:rPr>
        <w:t>DIVIDEND SLEEVE · 2026-03-28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Valley National Bancorp is a bank holding company operating Valley Bank, a regional commercial bank with approximately $62B in assets serving New Jersey, New York, Florida, Alabama, California, and Illinois. The bank focuses on commercial and industrial lending, commercial real estate, and retail banking services.</w:t>
      </w:r>
    </w:p>
    <w:p>
      <w:r>
        <w:rPr>
          <w:rFonts w:ascii="Calibri" w:hAnsi="Calibri"/>
          <w:b/>
          <w:color w:val="6E8450"/>
          <w:sz w:val="18"/>
        </w:rPr>
        <w:t>3,675 Employees · https://www.valley.com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Valley completed the transformative Bank Leumi USA acquisition in 2022, expanding its asset base and commercial banking capabilities significantly. However, the bank's core business model — relationship-driven commercial and retail banking — has not fundamentally changed in decades [1]. AI Deployment (1/2): Valley deployed DataRobot's AI platform for anti-money laundering compliance, reducing false positive alerts by 22% and building over 100 validated models — a meaningful operational efficiency gain with quantified results [2]. The bank also hired a leader with generative AI experience from Capital One's contact center. Market Share (1/2): Valley is a mid-size regional bank with ~$62B in assets, not a market leader in any category but a meaningful player in NJ/NY/FL commercial banking with 353% CRE concentration relative to risk-based capital [1]. Pipeline (0/2): No significant new product launches or next-generation banking initiatives with specific timelines announced. R&amp;D (1/1): The bank invested in fintech partnerships and digital channels leadership hires, and its IT budget includes emerging technology investments in AI, ML, and blockchain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Valley Bank's positioning centers on community banking and relationship-driven service, but no distinctive or inspirational mission statement differentiates it from thousands of other community banks. The 'Making our Mark, Together' sustainability report title suggests intentionality but the purpose reads as generic banking service [3]. Community Impact (2/2): Valley invested more than $2.5B to support communities in 2024, committed $100M with The Community Preservation Corporation for ESG-focused sustainability loans, and operates sustainable lending programs for hybrid/EV financing and energy-efficient buildings — substantial and specific community investment for a bank of its size [3]. Employee Retention (0/2): Glassdoor rating of 3.1/5 with only 36% recommendation rate is well below average; employees cite micromanagement, sales pressure, and staffing issues. Management team average tenure of only 1.1 years suggests significant leadership turnover [2]. Insider Buying (1/2): CEO Robbins received stock awards valued at $805K in February 2026 but no open-market purchases identified; other executives received standard equity grants without material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Valley's financial profile reflects a recovering regional bank with attractive valuation but stagnant dividend growth [4]. Forward P/E of 8.0x is deeply discounted versus bank peers, and profit margin of 32.4% is strong for the sector. ROE of 7.85% is below the 15% target but management guides to 12-12.5% ROTCE by mid-2026 and 15% by 2027 [1]. Revenue grew 9.9% YoY to $2.03B in FY2025 with 11-13% NII growth guided for 2026. The dividend has been paid for 36+ consecutive years ($0.44/share annually since 2014) at a 3.68% yield with a sustainable 43.6% payout ratio — but zero dividend growth in 12 years is a significant weakness for a dividend stock [4]. D/E is structurally not applicable for banks. Liquidity floor cleared: 8.1M avg volume x $11.95 = $96.9M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Valley National Bancorp is a 97-year-old institution that has endured through multiple banking crises, which inherently suggests some infinite-game characteristics. However, 12 years of flat dividends ($0.44/share since 2014) despite rising earnings suggests a conservative, quarter-to-quarter management approach focused on capital preservation over growth. The recent strategic shift toward C&amp;I lending and fintech partnerships shows adaptability, but the low Glassdoor scores and high management turnover indicate finite-game organizational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Valley Bank's purpose — community banking and relationship-driven service — is genuine but generic. The $2.5B community investment in 2024 and ESG lending programs show some purpose alignment, but there is no distinctive Just Cause that differentiates Valley from any other community bank. The 'Making our Mark, Together' positioning is a corporate slogan, not a Just Cause (1 pt)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3.1/5 with only 36% recommendation rate is concerning. Employees cite micromanagement, sales pressure, and staffing issues. Management team average tenure of only 1.1 years indicates significant leadership churn beneath CEO Robbins [2]. The new CFO (March 2025) and recently appointed senior leaders suggest ongoing organizational restructuring rather than stability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Valley's strategic response to fintech competition — hiring leaders from Capital One with generative AI experience, deploying DataRobot for AML, investing in digital channels — shows the bank is learning from tech-forward rivals rather than dismissing them [2]. The fintech partnership strategy acknowledges that innovation may come from outside traditional banking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Bank Leumi USA acquisition in 2022 represented a meaningful strategic pivot, expanding Valley's commercial banking capabilities and geographic reach. The ongoing shift from CRE concentration toward C&amp;I and owner-occupied CRE shows strategic adaptation [1]. However, these are incremental evolutions of the same community banking model, not transformative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Robbins has guided Valley through the Bank Leumi integration and strategic repositioning toward C&amp;I lending, setting ambitious profitability targets (15% ROTCE by 2027). The decision to maintain flat dividends for 12 years while building capital shows discipline, though it could also reflect a lack of confidence in the growth trajectory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Valley National Bancorp delivered record Q4 2025 earnings of $195M ($0.33/share) on $541M revenue, beating expectations, with full-year net income of $598M [1]. Management guides for 11-13% NII growth in 2026 with 15-20 bps of margin expansion, targeting 12-12.5% ROTCE by mid-2026 and 15% by 2027. At 8.0x forward earnings with a 3.68% dividend yield (43.6% payout ratio), VLY offers deep value among regional banks. The 36-year dividend payment track record and $2.5B annual community investment demonstrate institutional stability. Mid-single-digit loan growth guidance ($1B C&amp;I + $1B CRE + $500M consumer) provides earnings visibility, while declining criticized/classified loans signal improving credit quality [1].</w:t>
      </w:r>
    </w:p>
    <w:p>
      <w:pPr>
        <w:spacing w:after="120"/>
      </w:pPr>
      <w:r>
        <w:rPr>
          <w:rFonts w:ascii="Calibri" w:hAnsi="Calibri"/>
          <w:b w:val="0"/>
          <w:color w:val="3A4A28"/>
          <w:sz w:val="20"/>
        </w:rPr>
        <w:t>The bear case centers on CRE concentration risk and stagnant shareholder returns. Valley's CRE loans represent 353% of risk-based capital as of mid-2025, far exceeding the 250% regional bank average, creating meaningful exposure to a commercial real estate downturn [2]. The dividend has been frozen at $0.44/share for 12 consecutive years (since 2014), meaning real purchasing power has declined ~35% due to inflation — a poor outcome for income investors despite the nominal 3.68% yield. The 3.1/5 Glassdoor rating with 36% recommendation rate and 1.1-year average management tenure suggest organizational dysfunction that could impair execution on strategic initiatives. Revenue CAGR of only 2.85% over three years (including the Leumi acquisition) indicates limited organic growth. Fintech competition and the bank's acknowledged technology gaps create competitive vulnerability in deposit gathering and fee income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11-13% NII growth guidance for 2026 with 15-20 bps margin expansion, driving ROTCE toward the 12-12.5% mid-2026 target and 15% by 2027 [1]</w:t>
      </w:r>
    </w:p>
    <w:p>
      <w:pPr>
        <w:spacing w:before="40" w:after="40"/>
        <w:ind w:left="283"/>
      </w:pPr>
      <w:r>
        <w:rPr>
          <w:rFonts w:ascii="Calibri" w:hAnsi="Calibri"/>
          <w:b/>
          <w:color w:val="4A6B25"/>
          <w:sz w:val="20"/>
        </w:rPr>
        <w:t xml:space="preserve">2. </w:t>
      </w:r>
      <w:r>
        <w:rPr>
          <w:rFonts w:ascii="Calibri" w:hAnsi="Calibri"/>
          <w:b w:val="0"/>
          <w:color w:val="3A4A28"/>
          <w:sz w:val="20"/>
        </w:rPr>
        <w:t>Declining criticized and classified loans through 2026-2027 improving credit quality metrics and potentially reducing the ~$100M annual provision expense [1]</w:t>
      </w:r>
    </w:p>
    <w:p>
      <w:pPr>
        <w:spacing w:before="40" w:after="40"/>
        <w:ind w:left="283"/>
      </w:pPr>
      <w:r>
        <w:rPr>
          <w:rFonts w:ascii="Calibri" w:hAnsi="Calibri"/>
          <w:b/>
          <w:color w:val="4A6B25"/>
          <w:sz w:val="20"/>
        </w:rPr>
        <w:t xml:space="preserve">3. </w:t>
      </w:r>
      <w:r>
        <w:rPr>
          <w:rFonts w:ascii="Calibri" w:hAnsi="Calibri"/>
          <w:b w:val="0"/>
          <w:color w:val="3A4A28"/>
          <w:sz w:val="20"/>
        </w:rPr>
        <w:t>Strategic shift toward C&amp;I lending ($1B guided growth) diversifying away from CRE concentration and improving the risk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concentration at 353% of risk-based capital (vs. 250% peer average) creating outsized exposure to a commercial real estate correction, particularly in office and multifamily segments [2]</w:t>
      </w:r>
    </w:p>
    <w:p>
      <w:pPr>
        <w:spacing w:before="40" w:after="40"/>
        <w:ind w:left="283"/>
      </w:pPr>
      <w:r>
        <w:rPr>
          <w:rFonts w:ascii="Calibri" w:hAnsi="Calibri"/>
          <w:b/>
          <w:color w:val="4A6B25"/>
          <w:sz w:val="20"/>
        </w:rPr>
        <w:t xml:space="preserve">2. </w:t>
      </w:r>
      <w:r>
        <w:rPr>
          <w:rFonts w:ascii="Calibri" w:hAnsi="Calibri"/>
          <w:b w:val="0"/>
          <w:color w:val="3A4A28"/>
          <w:sz w:val="20"/>
        </w:rPr>
        <w:t>12 years of frozen dividends at $0.44/share despite rising earnings — income investors may lose patience as inflation erodes real returns and competing banks increase payouts [4]</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3.1/5 Glassdoor rating, 36% employee recommendation rate, and 1.1-year average management tenure could impair execution on the C&amp;I pivot and technology modernization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relationship-driven, and physically-rooted business that AI cannot easily displace — customers still need deposit insurance, lending relationships, and regulatory-compliant financial services. Valley's core CRE and C&amp;I lending requires human judgment, site visits, and relationship management that AI augments rather than replaces [2]. However, fintech competitors are using AI to automate lending decisions, payments, and customer service, creating competitive pressure on traditional banks' fee income and deposit gathering. Valley's below-average technology reputation (Glassdoor complaints about outdated systems) creates vulnerability to better-digitized competitors. AI Opportunity (1/1): Valley generates measurable AI-driven value through its DataRobot AML deployment (22% false positive reduction, 100+ validated models) and is investing in generative AI for contact center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Valley National Bancorp Q4 2025 Earnings Call and Full-Year 2025 Results, January 2026</w:t>
      </w:r>
    </w:p>
    <w:p>
      <w:pPr>
        <w:spacing w:before="20" w:after="20"/>
        <w:ind w:left="170"/>
      </w:pPr>
      <w:r>
        <w:rPr>
          <w:rFonts w:ascii="Calibri" w:hAnsi="Calibri"/>
          <w:b/>
          <w:color w:val="4A6B25"/>
          <w:sz w:val="15"/>
        </w:rPr>
        <w:t xml:space="preserve">2. </w:t>
      </w:r>
      <w:r>
        <w:rPr>
          <w:rFonts w:ascii="Calibri" w:hAnsi="Calibri"/>
          <w:b w:val="0"/>
          <w:color w:val="3A4A28"/>
          <w:sz w:val="17"/>
        </w:rPr>
        <w:t>DataRobot Case Study — Valley Bank AML AI Deployment; Glassdoor Reviews; Valley Bank Leadership Hires; MatrixBCG Competitive Landscape</w:t>
      </w:r>
    </w:p>
    <w:p>
      <w:pPr>
        <w:spacing w:before="20" w:after="20"/>
        <w:ind w:left="170"/>
      </w:pPr>
      <w:r>
        <w:rPr>
          <w:rFonts w:ascii="Calibri" w:hAnsi="Calibri"/>
          <w:b/>
          <w:color w:val="4A6B25"/>
          <w:sz w:val="15"/>
        </w:rPr>
        <w:t xml:space="preserve">3. </w:t>
      </w:r>
      <w:r>
        <w:rPr>
          <w:rFonts w:ascii="Calibri" w:hAnsi="Calibri"/>
          <w:b w:val="0"/>
          <w:color w:val="3A4A28"/>
          <w:sz w:val="17"/>
        </w:rPr>
        <w:t>ESG Today — Valley Bank $2.5B Community Investment 2024; Valley Bank/CPC $100M ESG Loan Partnership; Valley Sustainability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VLY (Valley National Bancorp),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