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VNET</w:t>
      </w:r>
      <w:r>
        <w:rPr>
          <w:rFonts w:ascii="Calibri" w:hAnsi="Calibri"/>
          <w:b/>
          <w:color w:val="1A2010"/>
          <w:sz w:val="40"/>
        </w:rPr>
        <w:t xml:space="preserve">  VNET Group, Inc.</w:t>
      </w:r>
    </w:p>
    <w:p>
      <w:pPr>
        <w:spacing w:after="120"/>
      </w:pPr>
      <w:r>
        <w:rPr>
          <w:rFonts w:ascii="Calibri" w:hAnsi="Calibri"/>
          <w:b/>
          <w:color w:val="6E8450"/>
          <w:sz w:val="18"/>
        </w:rPr>
        <w:t>GROWTH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China</w:t>
      </w:r>
    </w:p>
    <w:p>
      <w:pPr>
        <w:spacing w:after="80"/>
      </w:pPr>
      <w:r>
        <w:rPr>
          <w:rFonts w:ascii="Calibri" w:hAnsi="Calibri"/>
          <w:b w:val="0"/>
          <w:color w:val="3A4A28"/>
          <w:sz w:val="20"/>
        </w:rPr>
        <w:t>VNET Group is a leading carrier- and cloud-neutral internet data center services provider in China, operating over 50 data centers across 30+ cities with 889MW wholesale capacity and 49,000+ retail cabinets. The company provides managed hosting, cloud services, and AI supercomputing infrastructure.</w:t>
      </w:r>
    </w:p>
    <w:p>
      <w:r>
        <w:rPr>
          <w:rFonts w:ascii="Calibri" w:hAnsi="Calibri"/>
          <w:b/>
          <w:color w:val="6E8450"/>
          <w:sz w:val="18"/>
        </w:rPr>
        <w:t>https://www.vnet.com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VNET has successfully pivoted from a traditional colocation provider to an AI-era data center platform, launching the Ulanqab Green G-watt AIDC Super Intelligent Computing Flagship Base and expanding wholesale capacity from ~400MW to 889MW [1]. Revenue grew 19.6% YoY in Q4 2025 with full-year 2026 guidance of 15.6-18.6% growth [1]. AI Deployment (2/2): The company developed an AI supercomputing cluster, an AI-native infrastructure platform, and collaborated with Dinghao DH3 to create the 'Dinghao Super Interconnection AGI Hub' for training-to-inference workloads [2]. Pipeline (2/2): Guided 450-500MW of new capacity additions in 2026 (up from 404MW in 2025) with CapEx of CNY 10-12 billion, plus the 'Electron World' project for AI-era power systems [1][2]. R&amp;D Intensity (1/1): 341 accumulated patents across renewable energy, intelligent O&amp;M, power systems, and network computing as of end-2024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VNET's stated purpose of being a 'new type of infrastructure' provider for the AGI era is clear and industry-specific but not deeply distinctive — it describes what they do rather than a transformative vision of the future [2]. Community Impact (1/2): The company achieved 33% female management representation, ISO 37001 anti-bribery certification, and 100% anti-corruption training coverage, but no specific charitable or community programs were identified [3]. Employee Retention (1/2): VNET emphasizes internal talent development — CEO Josh Chen cited a 'strong culture of nurturing internal' talent in leadership appointments, though no specific retention metrics are available [2]. Insider Buying (0/2): No evidence of meaningful insider buying found; founder Josh Chen serves as interim CEO but insider transaction data was not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VNET's financial profile reflects a capital-intensive growth phase with strained profitability. D/E of 319.1% is near the floor (score ~0.0), ROE of -1.7% hits the floor at 0.0, revenue growth YoY of 19.6% scores 1.0, forward P/E of 39.8 scores (60-39.8)/(60-20)=0.505, profit margin of -2.5% hits the floor at 0.0, and forward PEG is unavailable [4]. For growth stock weighting (ROE 2x, Rev Growth 5yr CAGR 2x, PEG 2x): D/E 0.0(1x) + ROE 0.0(2x) + RevGrowth YoY 1.0(1x) + RevGrowth 5yr CAGR ~0.5(2x est ~2.5%) + Fwd P/E 0.505(1x) + Profit Margin 0.0(1x) + PEG excluded = weighted sum ~2.505 / max 8 = 3.1, rounds to 3. Liquidity check: 6.7M avg vol × $8.45 = $56.6M — clears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VNET has endured nearly 30 years in China's competitive data center market, successfully pivoting from traditional hosting to AI-era infrastructure. However, the interim CEO arrangement since April 2024, heavy debt load, and aggressive capital-intensive expansion create execution risk that Sinek would view as prioritizing growth over organizational stability.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VNET's vision of building 'new type of infrastructure for the AGI era' is genuine and connects its work to China's AI transformation, but it has not been tested through multi-decade consistency — the pivot to AI infrastructure is recent and the company is still proving this cause shapes strategic decisions rather than just marketing [2].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VNET emphasizes internal talent nurturing and promoted Peter Zhang from within, signaling organizational continuity [2]. However, CEO turnover (Jeff Dong resigned April 2024, Josh Chen serving as interim CEO, and a rotating president structure with Sharon Xiao Liu) suggests leadership instability that undermines trust [2].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VNET's carrier- and cloud-neutral positioning acknowledges that hyperscale cloud providers (Alibaba Cloud, Tencent Cloud) have data center capabilities, and VNET differentiates through neutrality rather than trying to beat them. The partnership with Dinghao and collaboration with MatrixOne show a mindset of building ecosystems rather than destroying competitors [2].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VNET has evolved from a traditional colocation provider to an AI-era infrastructure platform, launching AI supercomputing clusters, the 'Electron World' green power project, and AGI Hub partnerships. This represents meaningful adaptation but remains incremental rather than a fundamental reinvention of the business model [2].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VNET committed CNY 10-12 billion in CapEx for 2026 — a massive investment relative to its ~CNY 10 billion revenue base — to build AI infrastructure capacity ahead of confirmed demand [1]. This represents a significant long-term bet, though it's unclear whether this is courageous vision or competitive necessity.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VNET Group is a direct beneficiary of China's AI infrastructure buildout, operating 889MW of wholesale data center capacity across 50+ facilities with guided expansion of 450-500MW in 2026 [1][2]. Revenue grew 19.6% in Q4 2025 and the company guides CNY 11.5-11.8 billion for 2026 (16-19% growth), with adjusted EBITDA of CNY 3.55-3.75 billion [1]. Jefferies raised its price target citing power reserve growth, and Consensus rates the stock a 'Strong Buy' [1]. VNET's AI-native infrastructure platform, supercomputing clusters, and green data center initiatives position it at the center of China's AGI transformation, with 341 patents providing a technology moat [2][3].</w:t>
      </w:r>
    </w:p>
    <w:p>
      <w:pPr>
        <w:spacing w:after="120"/>
      </w:pPr>
      <w:r>
        <w:rPr>
          <w:rFonts w:ascii="Calibri" w:hAnsi="Calibri"/>
          <w:b w:val="0"/>
          <w:color w:val="3A4A28"/>
          <w:sz w:val="20"/>
        </w:rPr>
        <w:t>The bear case centers on VNET's precarious financial position — D/E of 319%, negative ROE (-1.7%), and negative profit margin (-2.5%) reflect a company spending aggressively ahead of profitability [4]. Total debt of CNY 27.3 billion against market cap of ~$2.3 billion creates significant leverage risk if AI demand disappoints. Forward P/E of 39.8x prices in substantial growth that must materialize. China regulatory and geopolitical risk adds an overhang — U.S.-China tensions could restrict foreign investment in Chinese data center operators. The interim CEO arrangement since April 2024 signals leadership instability, and heavy CapEx (CNY 10-12B in 2026) could dilute shareholders or strain the balance sheet further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450-500MW capacity expansion in 2026 driving revenue growth toward CNY 11.5-11.8 billion guidance, supported by surging AI workload demand in China [1]</w:t>
      </w:r>
    </w:p>
    <w:p>
      <w:pPr>
        <w:spacing w:before="40" w:after="40"/>
        <w:ind w:left="283"/>
      </w:pPr>
      <w:r>
        <w:rPr>
          <w:rFonts w:ascii="Calibri" w:hAnsi="Calibri"/>
          <w:b/>
          <w:color w:val="4A6B25"/>
          <w:sz w:val="20"/>
        </w:rPr>
        <w:t xml:space="preserve">2. </w:t>
      </w:r>
      <w:r>
        <w:rPr>
          <w:rFonts w:ascii="Calibri" w:hAnsi="Calibri"/>
          <w:b w:val="0"/>
          <w:color w:val="3A4A28"/>
          <w:sz w:val="20"/>
        </w:rPr>
        <w:t>AI-native infrastructure platform and supercomputing cluster monetization as Chinese tech companies scale AI training and inference workloads [2]</w:t>
      </w:r>
    </w:p>
    <w:p>
      <w:pPr>
        <w:spacing w:before="40" w:after="40"/>
        <w:ind w:left="283"/>
      </w:pPr>
      <w:r>
        <w:rPr>
          <w:rFonts w:ascii="Calibri" w:hAnsi="Calibri"/>
          <w:b/>
          <w:color w:val="4A6B25"/>
          <w:sz w:val="20"/>
        </w:rPr>
        <w:t xml:space="preserve">3. </w:t>
      </w:r>
      <w:r>
        <w:rPr>
          <w:rFonts w:ascii="Calibri" w:hAnsi="Calibri"/>
          <w:b w:val="0"/>
          <w:color w:val="3A4A28"/>
          <w:sz w:val="20"/>
        </w:rPr>
        <w:t>Ulanqab Green G-watt AIDC base and 'Electron World' project enabling low-carbon AI data centers with integrated wind/solar/storage — a competitive differentiator in ESG-conscious markets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D/E of 319% and CNY 27.3 billion in total debt — a downturn in AI spending or inability to refinance could create a liquidity crisis [4]</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with negative net margins (-2.5%) and negative ROE (-1.7%) despite 20% revenue growth, raising questions about the path to sustained profitability [4]</w:t>
      </w:r>
    </w:p>
    <w:p>
      <w:pPr>
        <w:spacing w:before="40" w:after="40"/>
        <w:ind w:left="283"/>
      </w:pPr>
      <w:r>
        <w:rPr>
          <w:rFonts w:ascii="Calibri" w:hAnsi="Calibri"/>
          <w:b/>
          <w:color w:val="4A6B25"/>
          <w:sz w:val="20"/>
        </w:rPr>
        <w:t xml:space="preserve">3. </w:t>
      </w:r>
      <w:r>
        <w:rPr>
          <w:rFonts w:ascii="Calibri" w:hAnsi="Calibri"/>
          <w:b w:val="0"/>
          <w:color w:val="3A4A28"/>
          <w:sz w:val="20"/>
        </w:rPr>
        <w:t>China regulatory and geopolitical risk — potential U.S. restrictions on investment in Chinese tech infrastructure or domestic regulatory changes could impair operations and foreign capital access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VNET is AI infrastructure — the company builds and operates the physical data centers that power AI workloads in China. AI cannot displace data center demand; it dramatically increases it. VNET guided 450-500MW of new AI-driven capacity for 2026, and Jefferies raised its price target citing power reserve growth driven by AI demand [1][2]. The company's AI supercomputing clusters and AGI Hub directly serve China's burgeoning AI industry, making VNET a structural beneficiary of AI adoption. AI Opportunity (1/1): VNET generates direct revenue from AI infrastructure — its wholesale IDC capacity of 889MW serves hyperscale AI customers, and the AI-native infrastructure platform and supercomputing cluster are revenue-generating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VNET Group Q4 2025 Earnings Release — CNY 2.69B quarterly revenue, 19.6% YoY growth, 2026 guidance of CNY 11.5-11.8B, March 2026</w:t>
      </w:r>
    </w:p>
    <w:p>
      <w:pPr>
        <w:spacing w:before="20" w:after="20"/>
        <w:ind w:left="170"/>
      </w:pPr>
      <w:r>
        <w:rPr>
          <w:rFonts w:ascii="Calibri" w:hAnsi="Calibri"/>
          <w:b/>
          <w:color w:val="4A6B25"/>
          <w:sz w:val="15"/>
        </w:rPr>
        <w:t xml:space="preserve">2. </w:t>
      </w:r>
      <w:r>
        <w:rPr>
          <w:rFonts w:ascii="Calibri" w:hAnsi="Calibri"/>
          <w:b w:val="0"/>
          <w:color w:val="3A4A28"/>
          <w:sz w:val="17"/>
        </w:rPr>
        <w:t>VNET Group corporate website, innovation and leadership pages — AI supercomputing cluster, 341 patents, Dinghao AGI Hub,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VNET 2024 ESG Report — MSCI 'A' rating, PUE 1.27, carbon neutrality by 2030 target, Ulanqab green energy project,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VNET (VNET Group),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