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VNOM</w:t>
      </w:r>
      <w:r>
        <w:rPr>
          <w:rFonts w:ascii="Calibri" w:hAnsi="Calibri"/>
          <w:b/>
          <w:color w:val="1A2010"/>
          <w:sz w:val="40"/>
        </w:rPr>
        <w:t xml:space="preserve">  Viper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39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Midstream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Viper Energy, Inc. is a mineral and royalty interest company primarily operating in the Permian Basin. As a subsidiary of Diamondback Energy, Viper acquires and owns mineral and royalty interests in oil and natural gas properties across the most productive U.S. shale basin.</w:t>
      </w:r>
    </w:p>
    <w:p>
      <w:r>
        <w:rPr>
          <w:rFonts w:ascii="Calibri" w:hAnsi="Calibri"/>
          <w:b/>
          <w:color w:val="6E8450"/>
          <w:sz w:val="18"/>
        </w:rPr>
        <w:t>https://www.viperenergy.com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growth of 89.4% YoY driven by Permian Basin production growth and acquisitions rather than innovation. AI Deployment (0/2): No AI products or operations. Market Share (1/2): Meaningful Permian Basin mineral rights owner with $17.6B market cap, but competes with Texas Pacific Land, Black Stone Minerals, and others [1]. Pipeline (0/2): No next-gen products — growth purely through mineral acquisition. R&amp;D Intensity (1/1): No R&amp;D applicable but above-average capital deployment in mineral acquisitions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mission around maximizing royalty income with no distinctive purpose beyond shareholder returns. Community Impact (0/2): No employees and no community programs. Employee Retention (0/2): Zero employees — Viper is operated by Diamondback Energy. Insider Buying (2/2): Diamondback/Viper insiders have significant equity exposure demonstrating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Viper shows strong financial metrics for a royalty company. Forward P/E of 20.64 is slightly above target, but profit margin of -5.1% is temporarily negative. D/E of 21.1% is conservative for an energy company [1]. Dividend yield of 4.75% with 97.1% payout ratio reflects the pass-through royalty model. Revenue growth of 89.4% YoY is exceptional. Liquidity floor cleared at $158.9M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Viper Energy operates as a financial vehicle for Permian Basin mineral rights, with infinite-game attributes limited by its pure-play royalty structure. The company benefits from Diamondback's operational excellence but lacks independent organizational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Just Cause (0 pts → 1/10): Viper exists solely to maximize royalty income for shareholders — a purely financial objective with no vision of a better future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N/A (0 pts → 2/10): Zero employees — Viper is operated by Diamondback Energy. No independent organizational culture exists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mindset (0 pts → 3/10): Competitive positioning focused on acquiring mineral rights at attractive prices rather than learning from rival approaches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 → 6/10): Viper has evolved from a Diamondback spin-off to an independent mineral company through strategic acquisitions, expanding its Permian Basin footprint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Pursued large mineral acquisitions and maintained high distributions through commodity price volatility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Viper Energy offers direct exposure to Permian Basin production growth with a royalty model that carries zero operating costs — revenue growth of 89.4% YoY reflects aggressive mineral acquisition and basin production increases [1]. Dividend yield of 4.75% provides attractive income, supported by the Diamondback Energy parent's operational excellence. D/E of 21.1% is conservative. The royalty model provides inherent operating leverage with AI data center energy demand as a secular tailwind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includes commodity price dependence, the high payout ratio of 97.1%, and the negative temporary profit margin [1]. As a pure-play royalty company, Viper has no control over production decisions — operators determine drilling activity. The high payout leaves minimal cash for debt reduction or acquisitions. ROE of -2.9% and negative profit margin reflect temporary impairments or acquisition costs that may persist. Forward P/E of 20.6 is above the value target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Permian Basin production growth driving royalty income increases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 center energy demand supporting sustained oil and gas production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mineral acquisition accretion expanding the royalty base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Oil and gas price volatility directly impacts royalty revenue with no operational control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High payout ratio of 97.1% leaves minimal capital buffer — dividend cuts possible in commodity downturns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Negative current profitability suggests acquisition integration costs or impairments may persist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Mineral royalties on oil and gas production are immune to AI disruption — physical hydrocarbon extraction requires wells, rigs, and infrastructure that AI cannot substitute [1]. AI data center expansion increases energy demand, benefiting Permian Basin production. Royalty model has zero operating risk. AI Opportunity (0/1): No AI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VNOM (Viper Energy), retrieved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Viper Energy corporate filings and Diamondback Energy partnership disclosures,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