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VNO</w:t>
      </w:r>
      <w:r>
        <w:rPr>
          <w:rFonts w:ascii="Calibri" w:hAnsi="Calibri"/>
          <w:b/>
          <w:color w:val="1A2010"/>
          <w:sz w:val="40"/>
        </w:rPr>
        <w:t xml:space="preserve">  Vornado Realty Trust</w:t>
      </w:r>
    </w:p>
    <w:p>
      <w:pPr>
        <w:spacing w:after="120"/>
      </w:pPr>
      <w:r>
        <w:rPr>
          <w:rFonts w:ascii="Calibri" w:hAnsi="Calibri"/>
          <w:b/>
          <w:color w:val="6E8450"/>
          <w:sz w:val="18"/>
        </w:rPr>
        <w:t>DIVIDEND SLEEVE · 2026-04-19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Vornado Realty Trust is a fully integrated REIT with a 26 million square-foot portfolio of premier New York City office, retail, and multifamily assets, anchored by the $2.5 billion PENN District redevelopment. The company also owns flagship properties in Chicago (THE MART) and San Francisco (555 California Street). 100% of in-service office buildings are LEED certified.</w:t>
      </w:r>
    </w:p>
    <w:p>
      <w:r>
        <w:rPr>
          <w:rFonts w:ascii="Calibri" w:hAnsi="Calibri"/>
          <w:b/>
          <w:color w:val="6E8450"/>
          <w:sz w:val="18"/>
        </w:rPr>
        <w:t>3,145 Employees · https://www.vno.com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Vornado's primary innovation over the past 5 years is the PENN District redevelopment — a $2.5B transformation of its West Side Manhattan campus into a 5 million square-foot 'city within a city,' with PENN 2 now at 78% occupancy and average starting rents of $112/sf [1]. However, the core business model remains traditional office REIT management with no fundamental transformation. AI Deployment (0/2): No evidence of AI-powered products or quantified AI-driven operational savings. Vornado's operations remain conventional real estate management and leasing [2]. Market Share (1/2): Vornado is a meaningful player in premium NYC office space but not a category leader — it competes with SL Green, Brookfield, and others for prime Manhattan tenants. The PENN District creates differentiation as the largest single-developer project in Manhattan [1]. Pipeline (1/2): PENN District retail renaissance with Newmark as exclusive leasing agent is a specific pipeline with $200M+ of currently unrecognized rent expected to translate into earnings growth by 2027 [1]. R&amp;D Intensity (1/1): For a REIT, Vornado invests meaningfully in sustainability — achieving 100% LEED certification, top 6% GRESB score, and EPA ENERGY STAR Partner of the Year recognition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Vornado's identity centers on owning and developing 'premier' real estate assets in gateway cities, which is clear but not distinctive — it describes quality positioning rather than a deeper purpose or vision of a better future. Community Impact (1/2): Vornado's Vision 2030 sustainability roadmap includes carbon neutrality commitments, 100% LEED-certified portfolio, and tenant engagement on emissions reductions, representing genuine community investment beyond profit [3]. The PENN District transformation also creates significant local economic impact. Employee Retention (0/2): With only 3,145 employees, retention data is limited. No specific evidence of exceptional employee tenure or mission-driven retention found [2]. Insider Buying (1/2): Director Daniel Tisch purchased $5.6M worth of shares across multiple transactions in February-March 2026 ($25.55-$27.85/share), showing meaningful insider conviction [4]. However, Officer Haim Chera sold $1.9M in 2025, creating a mixed picture.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Vornado has strong profit margins (48.5%) and long dividend payment history (36 years) but faces severely elevated forward P/E (101.0x), negative revenue growth (-8.1%), and a devastated dividend growth profile after cutting dividends in 2020 and 2023 [4]. Mechanical calculation (Dividend sleeve): D/E 116.7% scores 0.80 (1x), ROE 14.4% scores 0.96 (1x), rev growth YoY -8.1% scores 0.40 (1x), rev growth 5yr CAGR 0.2% scores 0.35 (1x), forward P/E 101.0 scores 0.0 (1x), profit margin 48.5% scores 1.0 (1x), payout ratio 17.6% scores 1.0 (1x), consecutive years paid 36 scores 1.0 (2x), consecutive years growth 1 scores 0.1 (1x), 5yr div growth CAGR -20.8% scores 0.0 (2x). Weighted sum: 0.80+0.96+0.40+0.35+0+1.0+1.0+2.0+0.1+0 = 6.61. Max: 12. Score: 6.61/12×10 = 6. Liquidity cleared: 2.24M × $29.28 = $65.6M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Vornado under Steven Roth's 46-year leadership demonstrates elements of infinite game thinking — the PENN District is a multi-decade, $2.5B bet on Manhattan's future that sacrifices near-term earnings for transformative long-term value. However, the company's financial engineering (dividend cuts, leverage management) and concentration risk reflect finite-game vulnerabilities.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Vornado's implicit cause — creating premier urban environments in America's greatest cities — has been pursued consistently for decades under Steven Roth's leadership since 1980, and the PENN District 'city within a city' vision embodies genuine placemaking ambition [1]. However, this cause is not formally articulated as a Just Cause and reads more as a quality-focused business strategy than a vision of a better future. Roth's reputation as a dealmaker rather than a mission-driven leader limits the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Steven Roth has led Vornado for 46 years with a stable senior team including Michael Franco and David Greenbaum, suggesting leadership continuity [2]. The 'A'-rated executive team on Comparably and top-10% ranking among similar-sized companies indicate reasonable organizational trust. However, with only 3,145 employees and limited public cultural data, evidence of exceptional trust is thin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Vornado's competitive language tends toward positioning as 'premier' and 'preeminent' rather than acknowledging where rivals like SL Green or Brookfield excel [2]. The company's concentrated strategy in NYC suggests conviction in its own approach but limited evidence of learning from competitive dynamics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Vornado has demonstrated meaningful strategic evolution — selling non-core assets (Washington D.C. portfolio, retail JVs), concentrating in NYC, and transforming the PENN District from commodity office space into a mixed-use urban campus [1]. These moves reflect strategic adaptation but not the radical reinvention Sinek would cite as existential flexibility. The company is essentially doing the same thing (owning real estate) in a more focused way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$2.5B PENN District redevelopment, undertaken during a period of maximum skepticism about NYC office demand post-COVID, represents genuine courage — investing billions when most peers were retrenching [1]. However, Vornado also cut its dividend twice (2020, 2023), prioritizing balance sheet preservation over shareholder returns, which is pragmatic but reflects finite-game pressure management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Vornado's bull case hinges on the PENN District inflection point — with PENN 2 at 78% occupancy (targeting low-90s) and an incremental cash yield of 11.6%, $200M+ of currently unrecognized rent should translate into substantial earnings growth starting in 2027 [1]. The 36-year dividend payment history, premier NYC portfolio with 100% LEED certification, and significant insider buying ($5.6M by Director Tisch in Q1 2026) signal long-term conviction from those closest to the assets. NOI grew 1.5% in 2025 to $1.11B, and the company expects 2026 comparable FFO to be roughly flat at $2.32/share before the 2027 earnings inflection [1].</w:t>
      </w:r>
    </w:p>
    <w:p>
      <w:pPr>
        <w:spacing w:after="120"/>
      </w:pPr>
      <w:r>
        <w:rPr>
          <w:rFonts w:ascii="Calibri" w:hAnsi="Calibri"/>
          <w:b w:val="0"/>
          <w:color w:val="3A4A28"/>
          <w:sz w:val="20"/>
        </w:rPr>
        <w:t>The bear case is formidable. Forward P/E of 101x reflects near-zero GAAP earnings power today, with FFO a more relevant metric for REITs but one that shows no growth in 2026 [4]. Revenue declined 8.1% YoY, and the 5yr revenue CAGR is essentially flat at 0.2%. The dividend was cut from $4.59/share in 2019 to $0.74/share today — a 84% reduction that destroyed income investor confidence [4]. Office REIT fundamentals remain challenged by remote and hybrid work adoption, particularly outside the premium segment. Debt-to-equity of 116.7% with $7.9B total debt against only $855M cash creates balance sheet risk if interest rates remain elevated. The PENN District thesis requires continued Manhattan office demand recovery, which faces structural headwinds from work-from-home trends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PENN District lease-up approaching 2027 inflection point — $200M+ of currently unrecognized rent expected to convert into substantial earnings growth as PENN 2 moves from 78% to low-90s occupancy [1]</w:t>
      </w:r>
    </w:p>
    <w:p>
      <w:pPr>
        <w:spacing w:before="40" w:after="40"/>
        <w:ind w:left="283"/>
      </w:pPr>
      <w:r>
        <w:rPr>
          <w:rFonts w:ascii="Calibri" w:hAnsi="Calibri"/>
          <w:b/>
          <w:color w:val="4A6B25"/>
          <w:sz w:val="20"/>
        </w:rPr>
        <w:t xml:space="preserve">2. </w:t>
      </w:r>
      <w:r>
        <w:rPr>
          <w:rFonts w:ascii="Calibri" w:hAnsi="Calibri"/>
          <w:b w:val="0"/>
          <w:color w:val="3A4A28"/>
          <w:sz w:val="20"/>
        </w:rPr>
        <w:t>Meta establishing NYC retail flagship and Newmark engaged as exclusive leasing agent for PENN District retail renaissance, signaling major tenant demand [1]</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buying by Director Daniel Tisch ($5.6M in Q1 2026) at $25-28/share suggesting informed confidence in near-term catalysts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office demand decline from remote and hybrid work trends that could permanently impair occupancy rates and rental income even in premium NYC locations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116.7% D/E with $7.9B total debt and limited liquidity ($855M cash), creating refinancing risk in a higher-for-longer interest rate environment [4]</w:t>
      </w:r>
    </w:p>
    <w:p>
      <w:pPr>
        <w:spacing w:before="40" w:after="40"/>
        <w:ind w:left="283"/>
      </w:pPr>
      <w:r>
        <w:rPr>
          <w:rFonts w:ascii="Calibri" w:hAnsi="Calibri"/>
          <w:b/>
          <w:color w:val="4A6B25"/>
          <w:sz w:val="20"/>
        </w:rPr>
        <w:t xml:space="preserve">3. </w:t>
      </w:r>
      <w:r>
        <w:rPr>
          <w:rFonts w:ascii="Calibri" w:hAnsi="Calibri"/>
          <w:b w:val="0"/>
          <w:color w:val="3A4A28"/>
          <w:sz w:val="20"/>
        </w:rPr>
        <w:t>Dividend destruction — 84% cut from $4.59/share (2019) to $0.74/share today may permanently impair the stock's income investor base and limit valuation recovery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Vornado's core business — owning, managing, and developing physical real estate in prime Manhattan locations — is structurally immune to AI displacement [2]. You cannot digitize a Class A office building at PENN Station or retail space on Fifth Avenue. AI-driven remote work trends pose an indirect demand risk to office REITs broadly, but Vornado's concentration in premium, amenity-rich, transit-adjacent properties positions it in the segment least vulnerable to remote work substitution. AI data center demand is actually increasing power and real estate needs in urban markets. AI Opportunity (0/1): No AI-related revenue streams. Vornado does not develop or sell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Vornado Realty Trust Q4 2025 Earnings Release and 2026 Outlook — NOI $1.11B, PENN District 78% occupancy, FFO guidance $2.32/share, February 2026</w:t>
      </w:r>
    </w:p>
    <w:p>
      <w:pPr>
        <w:spacing w:before="20" w:after="20"/>
        <w:ind w:left="170"/>
      </w:pPr>
      <w:r>
        <w:rPr>
          <w:rFonts w:ascii="Calibri" w:hAnsi="Calibri"/>
          <w:b/>
          <w:color w:val="4A6B25"/>
          <w:sz w:val="15"/>
        </w:rPr>
        <w:t xml:space="preserve">2. </w:t>
      </w:r>
      <w:r>
        <w:rPr>
          <w:rFonts w:ascii="Calibri" w:hAnsi="Calibri"/>
          <w:b w:val="0"/>
          <w:color w:val="3A4A28"/>
          <w:sz w:val="17"/>
        </w:rPr>
        <w:t>Vornado Realty Trust corporate profile, executive team, and Wikipedia — Steven Roth 46-year tenure, portfolio overview</w:t>
      </w:r>
    </w:p>
    <w:p>
      <w:pPr>
        <w:spacing w:before="20" w:after="20"/>
        <w:ind w:left="170"/>
      </w:pPr>
      <w:r>
        <w:rPr>
          <w:rFonts w:ascii="Calibri" w:hAnsi="Calibri"/>
          <w:b/>
          <w:color w:val="4A6B25"/>
          <w:sz w:val="15"/>
        </w:rPr>
        <w:t xml:space="preserve">3. </w:t>
      </w:r>
      <w:r>
        <w:rPr>
          <w:rFonts w:ascii="Calibri" w:hAnsi="Calibri"/>
          <w:b w:val="0"/>
          <w:color w:val="3A4A28"/>
          <w:sz w:val="17"/>
        </w:rPr>
        <w:t>Vornado ESG Report and Vision 2030 — 100% LEED certification, EPA ENERGY STAR Partner, GRESB top 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VNO (Vornado Realty Trust),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