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VNRX</w:t>
      </w:r>
      <w:r>
        <w:rPr>
          <w:rFonts w:ascii="Calibri" w:hAnsi="Calibri"/>
          <w:b/>
          <w:color w:val="1A2010"/>
          <w:sz w:val="40"/>
        </w:rPr>
        <w:t xml:space="preserve">  VolitionRx Limited</w:t>
      </w:r>
    </w:p>
    <w:p>
      <w:pPr>
        <w:spacing w:after="120"/>
      </w:pPr>
      <w:r>
        <w:rPr>
          <w:rFonts w:ascii="Calibri" w:hAnsi="Calibri"/>
          <w:b/>
          <w:color w:val="6E8450"/>
          <w:sz w:val="18"/>
        </w:rPr>
        <w:t>GROWTH SLEEVE · 2026-03-28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American · United States</w:t>
      </w:r>
    </w:p>
    <w:p>
      <w:pPr>
        <w:spacing w:after="80"/>
      </w:pPr>
      <w:r>
        <w:rPr>
          <w:rFonts w:ascii="Calibri" w:hAnsi="Calibri"/>
          <w:b w:val="0"/>
          <w:color w:val="3A4A28"/>
          <w:sz w:val="20"/>
        </w:rPr>
        <w:t>VolitionRx Limited is a multi-national epigenetics company developing blood-based diagnostic tests using its proprietary Nucleosomics and Capture-Seq liquid biopsy platforms to detect and monitor cancers and diseases associated with NETosis. The company operates labs in Belgium and California and is pre-commercial in its key multi-cancer early detection (MCED) market.</w:t>
      </w:r>
    </w:p>
    <w:p>
      <w:r>
        <w:rPr>
          <w:rFonts w:ascii="Calibri" w:hAnsi="Calibri"/>
          <w:b/>
          <w:color w:val="6E8450"/>
          <w:sz w:val="18"/>
        </w:rPr>
        <w:t>75 Employees · https://volition.com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Volition has progressed from a single lab bench at the University of Namur to a 20,000 sq ft facility in Belgium with an Innovation Hub in San Diego, and grew revenue from $90K (2021) to $1.2M (2024) through veterinary diagnostics and research collaborations — but remains pre-commercial in its primary human MCED market after 15+ years [1]. AI Deployment (0/2): No evidence of AI-powered products or AI-driven cost savings; the company's technology is epigenetics-based (Nucleosomics, Capture-Seq) rather than AI-centric [2]. Market Share (1/2): Volition's Capture-Seq technology demonstrated 95% sensitivity in detecting stage I-II cancers across 81 subjects, positioning it competitively in the $36B MCED/MRD addressable market against Grail (Galleri), Guardant Health, and Exact Sciences, but with no commercial market share yet [1]. Pipeline (2/2): Specific pipeline includes Capture-Seq MCED platform targeting a $36B TAM with March 2026 clinical data showing 93% overall sensitivity and 95% specificity; full FY2025 results and business update scheduled for April 1, 2026 [1]. R&amp;D (2/2): The company spends virtually all revenue and capital on R&amp;D — operating cash burn of $19.6M against $1.5M revenue represents extraordinary R&amp;D intensity for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Volition's mission — 'saving lives and improving outcomes for people and animals with life-altering diseases through earlier detection' — is specific, service-oriented, and genuinely connected to reducing cancer mortality through accessible blood tests rather than invasive procedures. Co-founders Micallef and Eccleston set out to make diagnostics 'as fast and accessible as cholesterol testing,' which is distinctive and purpose-driven [2]. Community Impact (0/2): No evidence of charitable programs or community investment beyond the inherent social value of cancer detection research; the company's 75 employees and pre-commercial status limit philanthropic capacity. Employee Retention (0/2): No retention data available for a 75-person company; no Glassdoor reviews or turnover metrics found. Insider Buying (1/2): CEO Cameron Reynolds has maintained his position since founding; however, the February 2026 S-3 shelf registration of 17.97M shares for existing investor resale, combined with convertible note structures, suggests dilutive capital raises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VNRX's infrastructure reflects a pre-commercial biotech burning cash to reach commercialization. Revenue of $1.47M (TTM) grew 32% YoY and 3-year CAGR exceeds 100% from a tiny base [3]. The company has negative stockholders' equity (NYSE American non-compliance notice received February 2026), $11.3M in debt against just $199K cash, and operating cash burn of $19.6M annually [1]. Forward P/E is negative (-2.18) as the company is not expected to reach profitability before 2030 per Freedom Capital Markets estimates. Profit margin is 0% (net losses). Freedom Capital lowered its price target from $2.00 to $1.00, and H.C. Wainwright cut from $2.50 to $1.50, both citing delayed commercial revenue ramp [1]. Liquidity floor cleared narrowly: 8.4M avg volume x $0.20 = $1.7M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Volition has maintained a consistent vision of democratizing cancer detection through simple blood tests since its 2010 founding, with CEO Cameron Reynolds leading for 16 years. However, the company's inability to reach meaningful commercialization after 15+ years, combined with listing non-compliance and dilutive financing, raises questions about whether persistence reflects infinite-game thinking or an inability to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Volition's cause — making cancer detection as simple and accessible as a cholesterol test — is genuinely service-oriented and inclusive, targeting a $36B addressable market that could reduce cancer mortality worldwide [1][2]. The cause has been consistent since 2010 and survived leadership transitions and funding challenges. However, 15+ years without commercial scale means the cause remains aspirational rather than validated by execution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75 employees across Belgium, California, London, and Singapore, Volition operates as a small, mission-driven team. CEO Reynolds' 16-year tenure provides leadership continuity. The appointment of experienced hires like Sharon Ballesteros (Head of Quality) and board members with deep diagnostics experience (Dr. Rubin, Tim Still) suggests intentional team building [2]. No negative cultural signals found, but no data on turnover or employee satisfaction either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Volition's competitive language referencing learning from rivals like Grail, Guardant Health, or Exact Sciences. The company positions its Capture-Seq technology as differentiated but does not publicly acknowledge competitors' strengths as motivation for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Volition has shown some adaptability — pivoting from its original Nu.Q immunoassay platform to the more advanced Capture-Seq liquid biopsy technology, and expanding from human diagnostics into veterinary diagnostics (which generates its current revenue). The veterinary pivot provided a revenue pathway while the human MCED platform matures (1 pt)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has maintained the company's mission through 15+ years of pre-commercial cash burn, multiple capital raises, and now NYSE listing non-compliance — continuing to invest in R&amp;D ($19.6M annual burn) despite a $27M market cap. This represents genuine conviction, though it also raises questions about whether persistence is courage or inability to acknowledge strategic failure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VolitionRx's Capture-Seq liquid biopsy platform demonstrated 95% sensitivity for stage I-II cancers in a March 2026 study of 81 subjects, positioning the company in the estimated $36B multi-cancer early detection and minimal residual disease monitoring market [1]. Revenue grew 32% YoY to $1.47M driven by veterinary diagnostics, and two analyst firms maintain Buy ratings (Freedom Capital $1.00 PT, H.C. Wainwright $1.50 PT) despite target reductions. At a $27M market cap, the stock is a high-risk option on whether Capture-Seq's clinical data can translate into commercial partnerships or licensing agreements that would validate the platform and provide capital for the FDA pathway.</w:t>
      </w:r>
    </w:p>
    <w:p>
      <w:pPr>
        <w:spacing w:after="120"/>
      </w:pPr>
      <w:r>
        <w:rPr>
          <w:rFonts w:ascii="Calibri" w:hAnsi="Calibri"/>
          <w:b w:val="0"/>
          <w:color w:val="3A4A28"/>
          <w:sz w:val="20"/>
        </w:rPr>
        <w:t>The bear case is severe and immediate. Volition has $199K in cash against $11.3M in debt and $19.6M annual operating burn, creating existential funding risk within months without additional capital raises [1][3]. The company received a NYSE American listing non-compliance notice in February 2026 for failing stockholders' equity requirements, with a compliance deadline of August 2027 — potential delisting would devastate liquidity and institutional investor access. Freedom Capital Markets pushed meaningful commercial revenue expectations to ~2030, meaning 4+ more years of cash-burning dilution. The S-3 shelf registration of 17.97M shares for resale creates significant overhang on a stock trading at $0.20. Competition from well-funded rivals (Grail backed by Illumina, Guardant Health, Exact Sciences) with larger clinical datasets and commercial infrastructure is formidable. The 81-subject study, while promising, is far too small for regulatory submission.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Capture-Seq MCED clinical data expansion beyond the 81-subject proof-of-concept study, with potential pharma partnership or licensing agreement providing both capital and commercial validation [1]</w:t>
      </w:r>
    </w:p>
    <w:p>
      <w:pPr>
        <w:spacing w:before="40" w:after="40"/>
        <w:ind w:left="283"/>
      </w:pPr>
      <w:r>
        <w:rPr>
          <w:rFonts w:ascii="Calibri" w:hAnsi="Calibri"/>
          <w:b/>
          <w:color w:val="4A6B25"/>
          <w:sz w:val="20"/>
        </w:rPr>
        <w:t xml:space="preserve">2. </w:t>
      </w:r>
      <w:r>
        <w:rPr>
          <w:rFonts w:ascii="Calibri" w:hAnsi="Calibri"/>
          <w:b w:val="0"/>
          <w:color w:val="3A4A28"/>
          <w:sz w:val="20"/>
        </w:rPr>
        <w:t>Full FY2025 earnings and business update on April 1, 2026, which may provide clarity on cash runway, partnership pipeline, and NYSE compliance plan [1]</w:t>
      </w:r>
    </w:p>
    <w:p>
      <w:pPr>
        <w:spacing w:before="40" w:after="40"/>
        <w:ind w:left="283"/>
      </w:pPr>
      <w:r>
        <w:rPr>
          <w:rFonts w:ascii="Calibri" w:hAnsi="Calibri"/>
          <w:b/>
          <w:color w:val="4A6B25"/>
          <w:sz w:val="20"/>
        </w:rPr>
        <w:t xml:space="preserve">3. </w:t>
      </w:r>
      <w:r>
        <w:rPr>
          <w:rFonts w:ascii="Calibri" w:hAnsi="Calibri"/>
          <w:b w:val="0"/>
          <w:color w:val="3A4A28"/>
          <w:sz w:val="20"/>
        </w:rPr>
        <w:t>Veterinary diagnostics revenue trajectory as a near-term cash flow bridge while human MCED platform advances through clinical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crisis — $199K cash against $19.6M annual burn and $11.3M debt requires imminent dilutive financing that will further compress the $27M market cap [1][3]</w:t>
      </w:r>
    </w:p>
    <w:p>
      <w:pPr>
        <w:spacing w:before="40" w:after="40"/>
        <w:ind w:left="283"/>
      </w:pPr>
      <w:r>
        <w:rPr>
          <w:rFonts w:ascii="Calibri" w:hAnsi="Calibri"/>
          <w:b/>
          <w:color w:val="4A6B25"/>
          <w:sz w:val="20"/>
        </w:rPr>
        <w:t xml:space="preserve">2. </w:t>
      </w:r>
      <w:r>
        <w:rPr>
          <w:rFonts w:ascii="Calibri" w:hAnsi="Calibri"/>
          <w:b w:val="0"/>
          <w:color w:val="3A4A28"/>
          <w:sz w:val="20"/>
        </w:rPr>
        <w:t>NYSE American delisting risk after February 2026 non-compliance notice for stockholders' equity shortfall, with compliance required by August 2027 [1]</w:t>
      </w:r>
    </w:p>
    <w:p>
      <w:pPr>
        <w:spacing w:before="40" w:after="40"/>
        <w:ind w:left="283"/>
      </w:pPr>
      <w:r>
        <w:rPr>
          <w:rFonts w:ascii="Calibri" w:hAnsi="Calibri"/>
          <w:b/>
          <w:color w:val="4A6B25"/>
          <w:sz w:val="20"/>
        </w:rPr>
        <w:t xml:space="preserve">3. </w:t>
      </w:r>
      <w:r>
        <w:rPr>
          <w:rFonts w:ascii="Calibri" w:hAnsi="Calibri"/>
          <w:b w:val="0"/>
          <w:color w:val="3A4A28"/>
          <w:sz w:val="20"/>
        </w:rPr>
        <w:t>Commercial revenue timeline pushed to ~2030 by Freedom Capital Markets, meaning 4+ years of additional cash burn, dilution, and competitive vulnerability against better-funded MCED rivals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Volition's core business — epigenetics-based liquid biopsy diagnostics — operates in the physical/biological world of clinical sample collection, proprietary wet-lab chemistry (Nucleosomics, Capture-Seq), and FDA-regulated medical device approval pathways [2]. AI cannot replicate the underlying biochemistry or replace the need for blood-based cancer detection. However, AI is increasingly used in multi-cancer detection by competitors (Grail uses machine learning for methylation analysis), meaning Volition must integrate AI/bioinformatics capabilities to remain competitive in data analysis. The barrier to entry is the proprietary assay chemistry and clinical validation, not software. AI Opportunity (1/1): While Volition's Capture-Seq platform likely incorporates computational analysis of epigenetic signals, the company does not market AI-specific revenue; however, the liquid biopsy field inherently requires bioinformatics/ML for signal interpretation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VolitionRx Press Releases — Capture-Seq 95% Cancer Detection Study, NYSE Non-Compliance Notice, FY2025 Earnings Call Schedule, March 2026</w:t>
      </w:r>
    </w:p>
    <w:p>
      <w:pPr>
        <w:spacing w:before="20" w:after="20"/>
        <w:ind w:left="170"/>
      </w:pPr>
      <w:r>
        <w:rPr>
          <w:rFonts w:ascii="Calibri" w:hAnsi="Calibri"/>
          <w:b/>
          <w:color w:val="4A6B25"/>
          <w:sz w:val="15"/>
        </w:rPr>
        <w:t xml:space="preserve">2. </w:t>
      </w:r>
      <w:r>
        <w:rPr>
          <w:rFonts w:ascii="Calibri" w:hAnsi="Calibri"/>
          <w:b w:val="0"/>
          <w:color w:val="3A4A28"/>
          <w:sz w:val="17"/>
        </w:rPr>
        <w:t>VolitionRx Investor Relations — Executive Team, Corporate Governance, Company Overview; Craft.co Executive Profiles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VNRX (VolitionRx), retrieved March 28, 2026</w:t>
      </w:r>
    </w:p>
    <w:p>
      <w:pPr>
        <w:spacing w:before="20" w:after="20"/>
        <w:ind w:left="170"/>
      </w:pPr>
      <w:r>
        <w:rPr>
          <w:rFonts w:ascii="Calibri" w:hAnsi="Calibri"/>
          <w:b/>
          <w:color w:val="4A6B25"/>
          <w:sz w:val="15"/>
        </w:rPr>
        <w:t xml:space="preserve">4. </w:t>
      </w:r>
      <w:r>
        <w:rPr>
          <w:rFonts w:ascii="Calibri" w:hAnsi="Calibri"/>
          <w:b w:val="0"/>
          <w:color w:val="3A4A28"/>
          <w:sz w:val="17"/>
        </w:rPr>
        <w:t>Freedom Capital Markets and H.C. Wainwright Analyst Reports — VNRX Price Target Reductions,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