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VNT</w:t>
      </w:r>
      <w:r>
        <w:rPr>
          <w:rFonts w:ascii="Calibri" w:hAnsi="Calibri"/>
          <w:b/>
          <w:color w:val="1A2010"/>
          <w:sz w:val="40"/>
        </w:rPr>
        <w:t xml:space="preserve">  Vontier Corporation</w:t>
      </w:r>
    </w:p>
    <w:p>
      <w:pPr>
        <w:spacing w:after="120"/>
      </w:pPr>
      <w:r>
        <w:rPr>
          <w:rFonts w:ascii="Calibri" w:hAnsi="Calibri"/>
          <w:b/>
          <w:color w:val="6E8450"/>
          <w:sz w:val="18"/>
        </w:rPr>
        <w:t>GROWTH SLEEVE · 2026-05-02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Vontier Corporation provides mobility ecosystem solutions worldwide through connected mobility technologies, fueling and convenience retail solutions, fleet management, payment platforms, and environmental compliance systems. Spun off from Fortive Corporation in 2020.</w:t>
      </w:r>
    </w:p>
    <w:p>
      <w:r>
        <w:rPr>
          <w:rFonts w:ascii="Calibri" w:hAnsi="Calibri"/>
          <w:b/>
          <w:color w:val="6E8450"/>
          <w:sz w:val="18"/>
        </w:rPr>
        <w:t>8,600 Employees · https://www.vontier.com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Vontier appointed Rasha Hasaneen as Chief Innovation and Growth Officer in February 2026 to drive AI strategy and digital modernization [1]. The company is investing in connected mobility solutions and telematics with embedded AI capabilities, and opened a Capability Center in Bengaluru focused on AI engineering [2]. However, core revenue remains tied to legacy fueling hardware with modest 3% organic growth, and the transition to higher-margin recurring software revenue is still early-stage.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3.1/5 with reviews citing a 'blame game' culture at corporate and high turnover indicates trust deficits [3]. The Vontier Cares program (32,000+ volunteer hours annually) and 72% workplace injury reduction since 2020 demonstrate genuine social investment [4]. CEO Mark Morelli's 6-year tenure has delivered operational improvement but not a compelling inspirational mission beyond efficiency gains.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financial profile with ROE of 35.1%, forward P/E of 9.3x, and PEG of 0.99 indicating compelling value [2]. FY2025 delivered $3.08B revenue (+3.2% YoY) with 11% adjusted EPS growth. 2026 guidance of $3.10-3.15B with 80bps margin expansion and 95% FCF conversion demonstrates reliable cash generation [1]. D/E of 170.7% is elevated but manageable given consistent free cash flow. Profit margin of 13.2% is adequate for industrial 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Vontier demonstrates elements of infinite thinking through ESG commitments (Net Zero by 2050, 45% GHG reduction by 2030) and long-term mobility transformation strategy, but quarterly guidance focus, heavy leverage, and corporate culture issues reveal finite game tendencies at the operational level [4].</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advance next-generation mobility infrastructure provides directional purpose, and ESG commitments including Net Zero by 2050 suggest long-term thinking [4]. However, the cause lacks inspirational clarity needed to rally employees beyond financial targets, as evidenced by cultural disconnects on Glassdoor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 Glassdoor 3.1/5 rating with reviews citing blame-game culture and high turnover at corporate [3]. However, 72% reduction in workplace injuries and active volunteer programs suggest genuine care for frontline workers [4]. Trust appears stronger in operational roles than at management level.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Vontier competes against Dover (fueling), Trimble (fleet management), and emerging EV infrastructure players. The appointment of a Chief Innovation Officer and investment in connected solutions suggest awareness of competitive dynamics and willingness to evolve rather than defend legacy positions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Strategic pivot from legacy fueling hardware toward connected mobility, unified payments, and recurring software revenue demonstrates meaningful existential flexibility [1]. Opening India innovation center and appointing dedicated innovation leadership shows willingness to cannibalize existing revenue streams for long-term EV and digital mobility 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courage in guiding toward margin expansion while investing in transformation, committing to ambitious Net Zero targets, and building AI capabilities from scratch [1][4]. However, modest 3% organic growth guidance and reliance on cost-savings over bold market-creating moves suggests incremental rather than transformational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Vontier offers compelling value at 9.3x forward earnings with PEG near 1.0, positioned at the intersection of legacy fueling infrastructure and emerging digital mobility solutions. The Vontier Business System drives consistent operational improvement, evidenced by 11% EPS growth in FY2025 and guided 80bps margin expansion for FY2026, while proactive AI investments through the new Chief Innovation Officer create optionality.</w:t>
      </w:r>
    </w:p>
    <w:p>
      <w:pPr>
        <w:spacing w:after="120"/>
      </w:pPr>
      <w:r>
        <w:rPr>
          <w:rFonts w:ascii="Calibri" w:hAnsi="Calibri"/>
          <w:b w:val="0"/>
          <w:color w:val="3A4A28"/>
          <w:sz w:val="20"/>
        </w:rPr>
        <w:t>Key uncertainty centers on execution speed of the software/recurring revenue transition versus structural decline of legacy fueling demand from EV adoption. High leverage (D/E 170.7%) limits financial flexibility during transformation. At current valuation, the market prices in minimal growth optionality, creating asymmetric upside if the digital pivot gains traction but limited downside protection if the transition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of 80+ bps in FY2026 from Vontier Business System initiatives and mix shift toward higher-margin software</w:t>
      </w:r>
    </w:p>
    <w:p>
      <w:pPr>
        <w:spacing w:before="40" w:after="40"/>
        <w:ind w:left="283"/>
      </w:pPr>
      <w:r>
        <w:rPr>
          <w:rFonts w:ascii="Calibri" w:hAnsi="Calibri"/>
          <w:b/>
          <w:color w:val="4A6B25"/>
          <w:sz w:val="20"/>
        </w:rPr>
        <w:t xml:space="preserve">2. </w:t>
      </w:r>
      <w:r>
        <w:rPr>
          <w:rFonts w:ascii="Calibri" w:hAnsi="Calibri"/>
          <w:b w:val="0"/>
          <w:color w:val="3A4A28"/>
          <w:sz w:val="20"/>
        </w:rPr>
        <w:t>Successful scaling of Bengaluru AI/innovation center accelerating connected mobility product development</w:t>
      </w:r>
    </w:p>
    <w:p>
      <w:pPr>
        <w:spacing w:before="40" w:after="40"/>
        <w:ind w:left="283"/>
      </w:pPr>
      <w:r>
        <w:rPr>
          <w:rFonts w:ascii="Calibri" w:hAnsi="Calibri"/>
          <w:b/>
          <w:color w:val="4A6B25"/>
          <w:sz w:val="20"/>
        </w:rPr>
        <w:t xml:space="preserve">3. </w:t>
      </w:r>
      <w:r>
        <w:rPr>
          <w:rFonts w:ascii="Calibri" w:hAnsi="Calibri"/>
          <w:b w:val="0"/>
          <w:color w:val="3A4A28"/>
          <w:sz w:val="20"/>
        </w:rPr>
        <w:t>Acceleration of convenience retail and unified payment platform adoption driving recurring revenue growth above the 3% organic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EV adoption accelerating faster than expected could structurally impair legacy fueling infrastructure revenue before software transition completes</w:t>
      </w:r>
    </w:p>
    <w:p>
      <w:pPr>
        <w:spacing w:before="40" w:after="40"/>
        <w:ind w:left="283"/>
      </w:pPr>
      <w:r>
        <w:rPr>
          <w:rFonts w:ascii="Calibri" w:hAnsi="Calibri"/>
          <w:b/>
          <w:color w:val="4A6B25"/>
          <w:sz w:val="20"/>
        </w:rPr>
        <w:t xml:space="preserve">2. </w:t>
      </w:r>
      <w:r>
        <w:rPr>
          <w:rFonts w:ascii="Calibri" w:hAnsi="Calibri"/>
          <w:b w:val="0"/>
          <w:color w:val="3A4A28"/>
          <w:sz w:val="20"/>
        </w:rPr>
        <w:t>High debt-to-equity of 170.7% constrains strategic flexibility and increases vulnerability to rising rates or economic slowdown</w:t>
      </w:r>
    </w:p>
    <w:p>
      <w:pPr>
        <w:spacing w:before="40" w:after="40"/>
        <w:ind w:left="283"/>
      </w:pPr>
      <w:r>
        <w:rPr>
          <w:rFonts w:ascii="Calibri" w:hAnsi="Calibri"/>
          <w:b/>
          <w:color w:val="4A6B25"/>
          <w:sz w:val="20"/>
        </w:rPr>
        <w:t xml:space="preserve">3. </w:t>
      </w:r>
      <w:r>
        <w:rPr>
          <w:rFonts w:ascii="Calibri" w:hAnsi="Calibri"/>
          <w:b w:val="0"/>
          <w:color w:val="3A4A28"/>
          <w:sz w:val="20"/>
        </w:rPr>
        <w:t>Corporate culture issues (Glassdoor 3.1/5, blame-game references) could hinder execution of complex digital transformation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more opportunity than threat for Vontier's mobility infrastructure business. The dedicated Chief Innovation and Growth Officer appointment and Bengaluru AI center demonstrate proactive adoption [1][2]. Telematics and fleet management solutions integrate AI for route optimization and predictive maintenance, creating competitive differentiation. Legacy fueling hardware faces structural headwinds from EV adoption, but Vontier's pivot to unified payment platforms and connected convenience retail software positions it as an AI enabler rather than victim. AI Risk Protection score of 6 plus AI Opportunity tiebreaker of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Vontier FY2025 Q4 Earnings Release and FY2026 Guidance, BusinessWire, February 12, 2026</w:t>
      </w:r>
    </w:p>
    <w:p>
      <w:pPr>
        <w:spacing w:before="20" w:after="20"/>
        <w:ind w:left="170"/>
      </w:pPr>
      <w:r>
        <w:rPr>
          <w:rFonts w:ascii="Calibri" w:hAnsi="Calibri"/>
          <w:b/>
          <w:color w:val="4A6B25"/>
          <w:sz w:val="15"/>
        </w:rPr>
        <w:t xml:space="preserve">2. </w:t>
      </w:r>
      <w:r>
        <w:rPr>
          <w:rFonts w:ascii="Calibri" w:hAnsi="Calibri"/>
          <w:b w:val="0"/>
          <w:color w:val="3A4A28"/>
          <w:sz w:val="17"/>
        </w:rPr>
        <w:t>Vontier Appoints Rasha Hasaneen as Chief Innovation and Growth Officer, Yahoo Finance,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Vontier Employee Reviews (39 reviews, 3.1/5 rating), accessed May 2026</w:t>
      </w:r>
    </w:p>
    <w:p>
      <w:pPr>
        <w:spacing w:before="20" w:after="20"/>
        <w:ind w:left="170"/>
      </w:pPr>
      <w:r>
        <w:rPr>
          <w:rFonts w:ascii="Calibri" w:hAnsi="Calibri"/>
          <w:b/>
          <w:color w:val="4A6B25"/>
          <w:sz w:val="15"/>
        </w:rPr>
        <w:t xml:space="preserve">4. </w:t>
      </w:r>
      <w:r>
        <w:rPr>
          <w:rFonts w:ascii="Calibri" w:hAnsi="Calibri"/>
          <w:b w:val="0"/>
          <w:color w:val="3A4A28"/>
          <w:sz w:val="17"/>
        </w:rPr>
        <w:t>Vontier 2022 ESG Report and CDP Climate Disclosure, vontier.com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