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VOR</w:t>
      </w:r>
      <w:r>
        <w:rPr>
          <w:rFonts w:ascii="Calibri" w:hAnsi="Calibri"/>
          <w:b/>
          <w:color w:val="1A2010"/>
          <w:sz w:val="40"/>
        </w:rPr>
        <w:t xml:space="preserve">  Vor Biopharma Inc.</w:t>
      </w:r>
    </w:p>
    <w:p>
      <w:pPr>
        <w:spacing w:after="120"/>
      </w:pPr>
      <w:r>
        <w:rPr>
          <w:rFonts w:ascii="Calibri" w:hAnsi="Calibri"/>
          <w:b/>
          <w:color w:val="6E8450"/>
          <w:sz w:val="18"/>
        </w:rPr>
        <w:t>GROWTH SLEEVE · 2026-05-06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Vor Biopharma is a clinical-stage biopharmaceutical company focused on developing telitacicept, a novel fusion protein for the treatment of autoimmune diseases including generalized myasthenia gravis, systemic lupus erythematosus, rheumatoid arthritis, Sjogren's disease, and IgA nephropathy, licensed from RemeGen Co., Ltd.</w:t>
      </w:r>
    </w:p>
    <w:p>
      <w:r>
        <w:rPr>
          <w:rFonts w:ascii="Calibri" w:hAnsi="Calibri"/>
          <w:b/>
          <w:color w:val="6E8450"/>
          <w:sz w:val="18"/>
        </w:rPr>
        <w:t>76 Employees · https://www.vorbio.com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Vor executed a dramatic strategic pivot in 2025, abandoning its original engineered hematopoietic stem cell platform after laying off 95% of staff and in-licensing telitacicept from RemeGen in a $4B revival deal [1]. Telitacicept is a differentiated BLyS/APRIL dual-inhibitor fusion protein targeting multiple autoimmune indications, a mechanism validated by competing programs. The pipeline covers high-unmet-need autoimmune conditions (MG, SLE, RA, Sjogren's, IgA nephropathy), though the company is essentially a single-asset vehicle dependent on one licensed compound [2]. No proprietary R&amp;D engine remains after the pivot.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Jean-Paul Kress brings credible pharma leadership experience from MorphoSys, where he led the development and commercialization of Monjuvi [3]. Glassdoor reviews highlight 'Passion, Fellowship, and Humility' as genuine cultural values, though these reflect the pre-pivot team that was almost entirely eliminated [4]. The 95% workforce reduction in 2025 was traumatic but necessary for survival, and the current 76-employee team represents a fresh start focused on autoimmune disease. Insider alignment is moderate given the heavy PIPE financing dilution.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Vor is a pre-revenue clinical-stage company burning cash with no meaningful financial metrics. The forward P/E of -4.2x reflects expected losses of $3.73/share, and the company has no revenue, no ROE, and zero profit margin [5]. The sole financial bright spot is $455M in cash from the $175M PIPE financing, providing approximately two years of runway at current burn rates. Massive dilution from the RemeGen deal and PIPE financing has cratered per-share economics, with trailing EPS of -$70.50 reflecting the old entity's wind-down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Vor demonstrated extraordinary existential flexibility by completely reinventing itself from a cell therapy company to an autoimmune drug developer, but the single-asset dependency and near-death experience in 2025 raise questions about long-term organizational durability.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develop transformative therapies for autoimmune diseases affecting millions of patients globally represents a genuine just cause. Telitacicept's multi-indication potential across MG, SLE, RA, and other conditions addresses significant unmet medical need [2]. However, the abrupt pivot from blood cancer to autoimmune disease suggests the cause follows the asset rather than driving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95% workforce reduction in 2025 shattered the original team, and rebuilding trust with a new 76-person organization under CEO Kress is a work in progress [1]. Pre-pivot Glassdoor reviews praised fellowship and collaboration, but the current team is too new and small to evaluate meaningfully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small clinical-stage company, Vor has limited ability to benchmark against or learn from major pharma competitors in the autoimmune space (AstraZeneca, GSK, Roche). The company does not publicly acknowledge or engage with competitive dynamics in a way that suggests worthy-rival thinking.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Vor executed one of the most dramatic pivots in recent biotech history — shutting down its entire original platform, laying off 95% of staff, and relaunching as an autoimmune disease company via the RemeGen telitacicept license [1]. This demonstrates extraordinary willingness to abandon sunk costs in pursuit of a better path, the quintessence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wind down the original HSC platform and pursue the RemeGen deal required significant courage from the board and new CEO Kress. However, it was arguably a survival necessity rather than a proactive strategic choice, as the original program had stalled. The $175M PIPE financing at dilutive terms showed willingness to accept short-term pain for long-term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Vor Biopharma offers high-risk, high-reward exposure to telitacicept, a BLyS/APRIL dual-inhibitor fusion protein with potential across multiple autoimmune indications including MG, SLE, RA, Sjogren's, and IgA nephropathy [2]. The autoimmune market is massive and growing, with blockbuster potential if telitacicept demonstrates differentiated efficacy in upcoming clinical trials. CEO Jean-Paul Kress brings proven drug development and commercialization experience from MorphoSys [3], and the $455M cash position provides approximately two years of runway to execute on clinical milestones. The stock trades at a $758M market cap, offering significant upside if trial readouts are positive.</w:t>
      </w:r>
    </w:p>
    <w:p>
      <w:pPr>
        <w:spacing w:after="120"/>
      </w:pPr>
      <w:r>
        <w:rPr>
          <w:rFonts w:ascii="Calibri" w:hAnsi="Calibri"/>
          <w:b w:val="0"/>
          <w:color w:val="3A4A28"/>
          <w:sz w:val="20"/>
        </w:rPr>
        <w:t>The bear case is substantial for this pre-revenue, single-asset clinical-stage company. Vor is entirely dependent on one licensed compound from RemeGen, creating concentrated binary risk around clinical trial outcomes [1]. The 95% workforce reduction in 2025 and complete strategic pivot raise execution risk questions — can a rebuilt 76-person team successfully develop and commercialize a complex biologic across multiple indications? The $4B deal structure and PIPE financing created massive dilution, with trailing EPS of -$70.50 reflecting destroyed shareholder value from the original entity. Forward losses of ~$3.73/share ensure continued cash burn, and any clinical setback could be existential given the single-asset dependency. The autoimmune space is increasingly competitive with larger, better-resourced players.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Positive clinical trial readouts for telitacicept in generalized myasthenia gravis or systemic lupus erythematosus in late 2026 or 2027</w:t>
      </w:r>
    </w:p>
    <w:p>
      <w:pPr>
        <w:spacing w:before="40" w:after="40"/>
        <w:ind w:left="283"/>
      </w:pPr>
      <w:r>
        <w:rPr>
          <w:rFonts w:ascii="Calibri" w:hAnsi="Calibri"/>
          <w:b/>
          <w:color w:val="4A6B25"/>
          <w:sz w:val="20"/>
        </w:rPr>
        <w:t xml:space="preserve">2. </w:t>
      </w:r>
      <w:r>
        <w:rPr>
          <w:rFonts w:ascii="Calibri" w:hAnsi="Calibri"/>
          <w:b w:val="0"/>
          <w:color w:val="3A4A28"/>
          <w:sz w:val="20"/>
        </w:rPr>
        <w:t>Regulatory milestones including IND filings for additional autoimmune indications expanding the addressable market</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for ex-U.S. commercialization reducing execution risk and providing non-dilutive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with single-asset dependency on telitacicept — a negative readout could be existential</w:t>
      </w:r>
    </w:p>
    <w:p>
      <w:pPr>
        <w:spacing w:before="40" w:after="40"/>
        <w:ind w:left="283"/>
      </w:pPr>
      <w:r>
        <w:rPr>
          <w:rFonts w:ascii="Calibri" w:hAnsi="Calibri"/>
          <w:b/>
          <w:color w:val="4A6B25"/>
          <w:sz w:val="20"/>
        </w:rPr>
        <w:t xml:space="preserve">2. </w:t>
      </w:r>
      <w:r>
        <w:rPr>
          <w:rFonts w:ascii="Calibri" w:hAnsi="Calibri"/>
          <w:b w:val="0"/>
          <w:color w:val="3A4A28"/>
          <w:sz w:val="20"/>
        </w:rPr>
        <w:t>Massive shareholder dilution from RemeGen deal and $175M PIPE financing undermining per-share economics</w:t>
      </w:r>
    </w:p>
    <w:p>
      <w:pPr>
        <w:spacing w:before="40" w:after="40"/>
        <w:ind w:left="283"/>
      </w:pPr>
      <w:r>
        <w:rPr>
          <w:rFonts w:ascii="Calibri" w:hAnsi="Calibri"/>
          <w:b/>
          <w:color w:val="4A6B25"/>
          <w:sz w:val="20"/>
        </w:rPr>
        <w:t xml:space="preserve">3. </w:t>
      </w:r>
      <w:r>
        <w:rPr>
          <w:rFonts w:ascii="Calibri" w:hAnsi="Calibri"/>
          <w:b w:val="0"/>
          <w:color w:val="3A4A28"/>
          <w:sz w:val="20"/>
        </w:rPr>
        <w:t>Execution risk with a rebuilt 76-person team attempting to develop a complex biologic across five autoimmune indications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Biopharmaceutical drug development is highly resistant to AI displacement — regulatory approval, clinical trials, and manufacturing of biologic fusion proteins require deep domain expertise and cannot be automated away. AI is primarily an enabler in this space, with potential to accelerate clinical trial design, patient selection, and biomarker discovery for telitacicept's multiple autoimmune indications [3]. The small team size (76 employees) means AI productivity tools have limited organizational impact. The primary competitive threat is from other autoimmune therapies, not AI-driven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Fierce Pharma — Vor Bio's Surprise $4B Revival Deal for RemeGen's Autoimmune Drug, 2025</w:t>
      </w:r>
    </w:p>
    <w:p>
      <w:pPr>
        <w:spacing w:before="20" w:after="20"/>
        <w:ind w:left="170"/>
      </w:pPr>
      <w:r>
        <w:rPr>
          <w:rFonts w:ascii="Calibri" w:hAnsi="Calibri"/>
          <w:b/>
          <w:color w:val="4A6B25"/>
          <w:sz w:val="15"/>
        </w:rPr>
        <w:t xml:space="preserve">2. </w:t>
      </w:r>
      <w:r>
        <w:rPr>
          <w:rFonts w:ascii="Calibri" w:hAnsi="Calibri"/>
          <w:b w:val="0"/>
          <w:color w:val="3A4A28"/>
          <w:sz w:val="17"/>
        </w:rPr>
        <w:t>BioPharma Dive — Vor, With New CEO, Changes Course to Target Autoimmune Disease, 2025</w:t>
      </w:r>
    </w:p>
    <w:p>
      <w:pPr>
        <w:spacing w:before="20" w:after="20"/>
        <w:ind w:left="170"/>
      </w:pPr>
      <w:r>
        <w:rPr>
          <w:rFonts w:ascii="Calibri" w:hAnsi="Calibri"/>
          <w:b/>
          <w:color w:val="4A6B25"/>
          <w:sz w:val="15"/>
        </w:rPr>
        <w:t xml:space="preserve">3. </w:t>
      </w:r>
      <w:r>
        <w:rPr>
          <w:rFonts w:ascii="Calibri" w:hAnsi="Calibri"/>
          <w:b w:val="0"/>
          <w:color w:val="3A4A28"/>
          <w:sz w:val="17"/>
        </w:rPr>
        <w:t>Vor Biopharma Leadership Page and CEO Jean-Paul Kress Background, vorbio.com, accessed May 2026</w:t>
      </w:r>
    </w:p>
    <w:p>
      <w:pPr>
        <w:spacing w:before="20" w:after="20"/>
        <w:ind w:left="170"/>
      </w:pPr>
      <w:r>
        <w:rPr>
          <w:rFonts w:ascii="Calibri" w:hAnsi="Calibri"/>
          <w:b/>
          <w:color w:val="4A6B25"/>
          <w:sz w:val="15"/>
        </w:rPr>
        <w:t xml:space="preserve">4. </w:t>
      </w:r>
      <w:r>
        <w:rPr>
          <w:rFonts w:ascii="Calibri" w:hAnsi="Calibri"/>
          <w:b w:val="0"/>
          <w:color w:val="3A4A28"/>
          <w:sz w:val="17"/>
        </w:rPr>
        <w:t>Glassdoor — Working at Vor Bio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VOR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