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VOYA</w:t>
      </w:r>
      <w:r>
        <w:rPr>
          <w:rFonts w:ascii="Calibri" w:hAnsi="Calibri"/>
          <w:b/>
          <w:color w:val="1A2010"/>
          <w:sz w:val="40"/>
        </w:rPr>
        <w:t xml:space="preserve">  Voya Financial, Inc.</w:t>
      </w:r>
    </w:p>
    <w:p>
      <w:pPr>
        <w:spacing w:after="120"/>
      </w:pPr>
      <w:r>
        <w:rPr>
          <w:rFonts w:ascii="Calibri" w:hAnsi="Calibri"/>
          <w:b/>
          <w:color w:val="6E8450"/>
          <w:sz w:val="18"/>
        </w:rPr>
        <w:t>DIVIDEND SLEEVE · 2026-05-05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Conglomerates · NYSE · United States</w:t>
      </w:r>
    </w:p>
    <w:p>
      <w:pPr>
        <w:spacing w:after="80"/>
      </w:pPr>
      <w:r>
        <w:rPr>
          <w:rFonts w:ascii="Calibri" w:hAnsi="Calibri"/>
          <w:b w:val="0"/>
          <w:color w:val="3A4A28"/>
          <w:sz w:val="20"/>
        </w:rPr>
        <w:t>Voya Financial provides workplace benefits, savings solutions, and investment management services in the United States. The company operates through Retirement, Investment Management, and Employee Benefits segments, serving institutional and retail clients with full-service retirement products, asset management, and group insurance products.</w:t>
      </w:r>
    </w:p>
    <w:p>
      <w:r>
        <w:rPr>
          <w:rFonts w:ascii="Calibri" w:hAnsi="Calibri"/>
          <w:b/>
          <w:color w:val="6E8450"/>
          <w:sz w:val="18"/>
        </w:rPr>
        <w:t>11,000 Employees · https://www.voya.com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Voya successfully transformed from an ING spinoff (2013) into a focused workplace benefits and retirement platform, divesting annuities and individual life insurance to concentrate on higher-margin fee-based businesses [1]. Revenue grew 11.3% YoY in Q4 2025 to $2.11B, demonstrating execution on the growth strategy [1]. AI Deployment (2/2): Voya Machine Intelligence (VMI) has been deploying AI in investment management for over a decade, running live AI-driven equity strategies with measurable track records — a rare achievement in asset management [2]. Integration of Azure Databricks for real-time data analysis and automated processing drives operational efficiency [2]. Market Share (1/2): Voya is a meaningful participant in workplace retirement and benefits but not a category leader; AUM of ~$300B positions it behind Fidelity, Vanguard, and Empower [1]. Pipeline (0/2): No specific next-generation products announced with timelines beyond incremental capability extensions. R&amp;D Intensity (1/1): Heavy investment in technology platform and VMI capabilities relative to insurance/asset management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Voya's purpose is 'to make a secure financial future possible — one person, one family, one institution at a time.' Clear and specific to their business but not distinctive or transformative — interchangeable with most financial services firms [3]. Community Impact (1/2): Voya supports financial literacy programs and the Voya Foundation funds grants for education, but no standout charitable investment with specific dollar amounts cited in recent disclosures [3]. Employee Retention (1/2): Glassdoor rating of 3.8/5 with 1,159 reviews is adequate for the industry; no evidence of exceptional tenure or mission-driven retention, though the culture and values sub-rating of 3.9/5 is slightly above average [2]. Insider Buying (1/2): Executive compensation is heavily equity-linked, but no evidence of significant net insider buying beyond routine compensation-related transactions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Voya's financial profile is exceptionally strong for a financial services firm. D/E of 68.9% is below the 70% target, reflecting prudent leverage management [4]. Forward P/E of 7.4x is deeply discounted relative to the 20x target, suggesting significant undervaluation or market skepticism. Revenue grew 11.2% 5yr CAGR (2022-2025) driven by the successful pivot to fee-based revenue [1]. Payout ratio of 28.9% is conservative with dividend growing at 23.3% CAGR over 5 years (quarterly from $0.165 to $0.47). ROE of 11.2% is below the 15% target but improving as the business mix shifts. Profit margin of 8.0% is below target for the sector due to the insurance segment's loss ratios. Liquidity easily cleared: 1.18M avg vol x $82.02 = $96.6M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Voya demonstrates mixed infinite game characteristics — the successful multi-year transformation from ING legacy to focused workplace benefits platform shows strategic patience, but the company's competitive language centers on market share growth and cost efficiency rather than an enduring purpose beyond profit.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Voya's purpose of making a secure financial future possible is genuine but shallow — it describes what every retirement company does rather than articulating a distinctive vision of the future [3]. The ING-to-Voya transformation was driven by financial engineering (divestitures for margin improvement) rather than a cause-driven strategic vision. Score: 1 point on 3-2-2-2-1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3.8/5 with adequate culture scores (3.9/5 for culture and values) suggests a stable but unremarkable work environment [2]. The company has 11,000 employees with no evidence of mass layoffs or cultural dysfunction, but also no standout evidence of exceptional trust or empowerment. Score: 1 point on 3-2-2-2-1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 acknowledges competitive pressures from larger players (Fidelity, Vanguard, Empower) and positions its technology-forward approach as a differentiator rather than trying to compete on scale alone [1]. The VMI team explicitly references learning from quantitative competitors to improve their AI-driven strategies [2]. Score: 1 point on 3-2-2-2-1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ING-to-Voya transformation (2013-2018) involved divesting annuities, individual life insurance, and closed-block businesses to focus on workplace benefits — a meaningful but incremental strategic evolution rather than a transformative reinvention [1]. The company adapted to market conditions but the pivot was driven by financial necessity post-financial crisis rather than a Just Cause. Score: 1 point on 3-2-2-2-1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Voya's decision to exit profitable but capital-intensive insurance businesses to pursue higher-margin fee-based revenue demonstrated willingness to sacrifice near-term earnings for long-term positioning [1]. However, recent decisions (limiting AI data center lending) suggest caution over conviction [2]. Score: 1 point on 3-2-2-2-1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Voya Financial trades at a compelling 7.4x forward P/E with EPS expected to reach $11.08 in FY2026, reflecting 48% earnings growth driven by operating leverage in the fee-based retirement and investment management businesses [1][4]. The company's transformation from an ING legacy insurer into a focused workplace benefits platform is bearing fruit — Q4 2025 revenue grew 11.3% YoY to $2.11B, EPS has compounded at 23% annually over 5 years, and the dividend has grown from $0.66 to $1.88 annually (23% CAGR) while maintaining a conservative 29% payout ratio [1][4]. The Machine Intelligence platform provides a genuine competitive moat in quantitative investing [2].</w:t>
      </w:r>
    </w:p>
    <w:p>
      <w:pPr>
        <w:spacing w:after="120"/>
      </w:pPr>
      <w:r>
        <w:rPr>
          <w:rFonts w:ascii="Calibri" w:hAnsi="Calibri"/>
          <w:b w:val="0"/>
          <w:color w:val="3A4A28"/>
          <w:sz w:val="20"/>
        </w:rPr>
        <w:t>The bear case centers on margin pressure and competitive threats. Profit margins remain thin at 8% due to the employee benefits insurance segment's loss ratios, and ROE of 11.2% trails the 15% financial services benchmark [4]. Fee compression in retirement recordkeeping from scale competitors (Fidelity, Empower) could limit revenue growth, while the 5% YoY revenue growth in Q1 2026 represents a deceleration from 12.5% in the prior year period [1]. The investment management segment faces outflow risk as passive investing continues gaining share. Macro sensitivity to equity markets directly impacts fee revenue, and a sustained market downturn would compress both AUM-based fees and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7.4x represents significant multiple expansion potential as the market recognizes the completed business transformation and recurring fee revenue quality [4]</w:t>
      </w:r>
    </w:p>
    <w:p>
      <w:pPr>
        <w:spacing w:before="40" w:after="40"/>
        <w:ind w:left="283"/>
      </w:pPr>
      <w:r>
        <w:rPr>
          <w:rFonts w:ascii="Calibri" w:hAnsi="Calibri"/>
          <w:b/>
          <w:color w:val="4A6B25"/>
          <w:sz w:val="20"/>
        </w:rPr>
        <w:t xml:space="preserve">2. </w:t>
      </w:r>
      <w:r>
        <w:rPr>
          <w:rFonts w:ascii="Calibri" w:hAnsi="Calibri"/>
          <w:b w:val="0"/>
          <w:color w:val="3A4A28"/>
          <w:sz w:val="20"/>
        </w:rPr>
        <w:t>EPS expected to reach $11.08 in FY2026 (76% growth from $6.29 trailing), driven by operating leverage and continued share repurchases [1][4]</w:t>
      </w:r>
    </w:p>
    <w:p>
      <w:pPr>
        <w:spacing w:before="40" w:after="40"/>
        <w:ind w:left="283"/>
      </w:pPr>
      <w:r>
        <w:rPr>
          <w:rFonts w:ascii="Calibri" w:hAnsi="Calibri"/>
          <w:b/>
          <w:color w:val="4A6B25"/>
          <w:sz w:val="20"/>
        </w:rPr>
        <w:t xml:space="preserve">3. </w:t>
      </w:r>
      <w:r>
        <w:rPr>
          <w:rFonts w:ascii="Calibri" w:hAnsi="Calibri"/>
          <w:b w:val="0"/>
          <w:color w:val="3A4A28"/>
          <w:sz w:val="20"/>
        </w:rPr>
        <w:t>Voya Machine Intelligence platform expansion as AI-driven investment strategies attract institutional capital, providing differentiated growth in asset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Fee compression in workplace retirement from scale competitors (Fidelity managing $4.5T+ vs. Voya's ~$300B) and fintech disruptors offering lower-cost plan administration [1]</w:t>
      </w:r>
    </w:p>
    <w:p>
      <w:pPr>
        <w:spacing w:before="40" w:after="40"/>
        <w:ind w:left="283"/>
      </w:pPr>
      <w:r>
        <w:rPr>
          <w:rFonts w:ascii="Calibri" w:hAnsi="Calibri"/>
          <w:b/>
          <w:color w:val="4A6B25"/>
          <w:sz w:val="20"/>
        </w:rPr>
        <w:t xml:space="preserve">2. </w:t>
      </w:r>
      <w:r>
        <w:rPr>
          <w:rFonts w:ascii="Calibri" w:hAnsi="Calibri"/>
          <w:b w:val="0"/>
          <w:color w:val="3A4A28"/>
          <w:sz w:val="20"/>
        </w:rPr>
        <w:t>Equity market dependence — a sustained downturn would compress AUM-based fee revenue across both retirement and investment management segments simultaneously [4]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12.5% to 5% YoY signals potential plateau in organic growth after the post-transformation tailwind fades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Financial services face moderate AI disruption risk. Voya's retirement recordkeeping and benefits administration involve regulatory compliance and employer relationships that create switching costs, but AI-driven robo-advisors and automated plan administration platforms from fintech competitors could compress fees and displace traditional advisory services [2]. The investment management segment (VMI) is actively using AI as a tool, but AI also enables new entrants to offer competitive investment products at lower cost. Core retirement plan administration requires deep regulatory knowledge and custodial infrastructure that AI cannot easily replicate. AI Opportunity (1/1): Voya Machine Intelligence generates quantifiable revenue through AI-driven equity strategies managing institutional capital, with a decade-long track record of deploying machine learning in live investment portfolios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Voya Financial Q4 CY2025 Earnings Release — $2.11B revenue, 11.3% YoY growth, EPS beat, February 2026</w:t>
      </w:r>
    </w:p>
    <w:p>
      <w:pPr>
        <w:spacing w:before="20" w:after="20"/>
        <w:ind w:left="170"/>
      </w:pPr>
      <w:r>
        <w:rPr>
          <w:rFonts w:ascii="Calibri" w:hAnsi="Calibri"/>
          <w:b/>
          <w:color w:val="4A6B25"/>
          <w:sz w:val="15"/>
        </w:rPr>
        <w:t xml:space="preserve">2. </w:t>
      </w:r>
      <w:r>
        <w:rPr>
          <w:rFonts w:ascii="Calibri" w:hAnsi="Calibri"/>
          <w:b w:val="0"/>
          <w:color w:val="3A4A28"/>
          <w:sz w:val="17"/>
        </w:rPr>
        <w:t>Voya Machine Intelligence / AI strategy — institutional.voya.com; Bloomberg report on data center lending limits, March 2026</w:t>
      </w:r>
    </w:p>
    <w:p>
      <w:pPr>
        <w:spacing w:before="20" w:after="20"/>
        <w:ind w:left="170"/>
      </w:pPr>
      <w:r>
        <w:rPr>
          <w:rFonts w:ascii="Calibri" w:hAnsi="Calibri"/>
          <w:b/>
          <w:color w:val="4A6B25"/>
          <w:sz w:val="15"/>
        </w:rPr>
        <w:t xml:space="preserve">3. </w:t>
      </w:r>
      <w:r>
        <w:rPr>
          <w:rFonts w:ascii="Calibri" w:hAnsi="Calibri"/>
          <w:b w:val="0"/>
          <w:color w:val="3A4A28"/>
          <w:sz w:val="17"/>
        </w:rPr>
        <w:t>Voya Financial corporate website — ESG reporting, mission statement, leadership bios,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VOYA,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