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VRDN</w:t>
      </w:r>
      <w:r>
        <w:rPr>
          <w:rFonts w:ascii="Calibri" w:hAnsi="Calibri"/>
          <w:b/>
          <w:color w:val="1A2010"/>
          <w:sz w:val="40"/>
        </w:rPr>
        <w:t xml:space="preserve">  Viridian Therapeutics, Inc.</w:t>
      </w:r>
    </w:p>
    <w:p>
      <w:pPr>
        <w:spacing w:after="120"/>
      </w:pPr>
      <w:r>
        <w:rPr>
          <w:rFonts w:ascii="Calibri" w:hAnsi="Calibri"/>
          <w:b/>
          <w:color w:val="6E8450"/>
          <w:sz w:val="18"/>
        </w:rPr>
        <w:t>GROWTH SLEEVE · 2026-04-26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Viridian Therapeutics is a clinical-stage biopharmaceutical company developing treatments for thyroid eye disease (TED). Its pipeline includes veligrotug (IV anti-IGF-1R, BLA accepted with PDUFA June 30, 2026), elegrobart (SC anti-IGF-1R in Phase 3), VRDN-008 (half-life extended FcRn inhibitor in Phase 1), and a TSHR-targeting program for TED and Graves' disease.</w:t>
      </w:r>
    </w:p>
    <w:p>
      <w:r>
        <w:rPr>
          <w:rFonts w:ascii="Calibri" w:hAnsi="Calibri"/>
          <w:b/>
          <w:color w:val="6E8450"/>
          <w:sz w:val="18"/>
        </w:rPr>
        <w:t>252 Employees · https://www.viridiantherapeutics.com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Viridian transformed itself from miRagen Therapeutics (a struggling microRNA company) into a focused TED franchise, achieving BLA acceptance for veligrotug with Priority Review and a PDUFA date of June 30, 2026 — a company-defining pivot executed in under four years [1]. Revenue jumped from $302K in 2024 to $70.8M in 2025 from royalty/milestone payments. AI Deployment (0/2): No evidence of AI-powered drug discovery or quantified AI-driven R&amp;D efficiency gains; the company relies on traditional biopharmaceutical development approaches [2]. Market Share (2/2): Viridian is emerging as a potential leader in TED treatment alongside Horizon's Tepezza, with veligrotug positioned as a differentiated anti-IGF-1R therapy and elegrobart offering the first subcutaneous option for TED patients — a meaningful competitive advantage [1]. Pipeline (2/2): Exceptional pipeline visibility — veligrotug PDUFA June 2026, elegrobart Phase 3 REVEAL-1 topline Q1 2026 and REVEAL-2 Q2 2026, VRDN-008 Phase 1 data 2H 2026, and TSHR-targeting IND planned Q4 2026 [1]. R&amp;D Intensity (1/1): R&amp;D spending consumed the majority of the company's $342.6M net loss in 2025, well above industry average as a proportion of revenue for a clinical-stage biotech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Viridian's mission to develop treatments for patients suffering from thyroid eye disease — a debilitating autoimmune condition causing proptosis, diplopia, and vision loss — reflects genuine intentionality and connects the company's work to meaningful patient impact [1]. The pivot from miRagen's microRNA platform to focus exclusively on TED demonstrates purpose-driven strategic clarity. Community Impact (1/2): The company is developing treatments for a serious rare disease with limited options, providing therapeutic value to an underserved patient population, but specific charitable programs or dollar amounts for community investment were not identified. Employee Retention (0/2): Glassdoor rating of 3.6/5 with 59% recommending and mixed reviews citing confrontational leadership communication and disconnect between executives and frontline employees; 3.3 work-life balance is below average [2]. Insider Buying (1/2): CEO Stephen Mahoney was appointed in October 2023 and maintains equity exposure through compensation; Kopp Family Office recently trimmed a $3.5M stake, suggesting some insider selling pressure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Viridian is a pre-profitability clinical-stage biotech with $874.7M in cash as of December 2025, providing a runway through profitability if veligrotug and elegrobart are approved [1][4]. D/E of 7.3% is extremely low, reflecting minimal debt — a strong balance sheet position for a development-stage company. However, ROE is deeply negative (-49.2%) with a net loss of $342.6M in 2025, and profit margin is effectively 0%. Revenue of $70.8M in 2025 (vs $302K in 2024) represents milestone/royalty income rather than product sales, making traditional revenue growth metrics misleading. Forward P/E is negative (-5.7x), reflecting anticipated continued losses through the commercial launch period. The stock has declined significantly from its SMA-50 of $23.57 to $13.73, reflecting binary clinical/regulatory risk. Liquidity floor cleared: 2.1M avg vol x $13.73 = $28.9M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Viridian is a young company (reborn in 2021 from miRagen) focused on a single therapeutic area with genuine patient impact. The pivot to TED demonstrates purpose-driven strategic flexibility, but the company is too early-stage to have faced the multi-decade tests that define infinite game players. Binary regulatory outcomes and the pressure to commercialize create inherently finite game dynamics.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Viridian's focus on treating thyroid eye disease — a condition causing vision loss and disfigurement with limited treatment options — represents a genuine and specific purpose that connects the company's work to patient suffering [1]. The complete reinvention from miRagen's failing microRNA platform to a focused TED franchise demonstrates that the cause drives strategy, not the other way around. However, the company is too young to have validated this purpose through decades of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concerning patterns — confrontational leadership communication in town halls, growing disconnect between executives and frontline employees, and decision-making driven by external perception rather than internal feedback [2]. The 59% recommendation rate and 3.3 work-life balance score are below average. The CEO transition in October 2023 and rapid organizational scaling create inherent trust-building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Viridian explicitly positions against Horizon's Tepezza (now Amgen) as the established TED treatment, but frames competition in terms of improving patient outcomes — offering subcutaneous administration (elegrobart) as a patient convenience advantage rather than merely trying to take market share [1]. The multi-modality approach (IV + SC + FcRn inhibitor) suggests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miRagen Therapeutics (failing microRNA platform) to Viridian Therapeutics (focused TED franchise) represents a genuine existential pivot — abandoning the entire prior pipeline and scientific platform to pursue a completely different therapeutic approach [1]. This was partially desperation-driven but executed with conviction and has delivered a BLA submission within four years.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miRagen-to-Viridian pivot required courage, the current leadership under CEO Mahoney (since October 2023) has not yet faced a defining test of long-term conviction. The company is executing a straightforward clinical development and commercialization playbook. The Glassdoor commentary about externally-driven decision-making and confrontational leadership style raises concerns about principled courage versus performative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Viridian Therapeutics offers asymmetric upside as a clinical-stage biotech approaching a major inflection point — veligrotug's BLA was accepted with Priority Review and a PDUFA target date of June 30, 2026, positioning the company for its first product launch in the $3B+ TED market [1]. The $874.7M cash position provides runway through profitability, and the pipeline depth (elegrobart Phase 3 toplines in H1 2026, VRDN-008 Phase 1 data 2H 2026, TSHR IND Q4 2026) creates multiple near-term catalysts. D/E of 7.3% reflects minimal leverage, and the company expects its cash and future revenues to fund operations through commercial viability. At a $1.4B market cap, successful approval and commercialization of veligrotug alone could represent significant upside relative to the addressable TED market.</w:t>
      </w:r>
    </w:p>
    <w:p>
      <w:pPr>
        <w:spacing w:after="120"/>
      </w:pPr>
      <w:r>
        <w:rPr>
          <w:rFonts w:ascii="Calibri" w:hAnsi="Calibri"/>
          <w:b w:val="0"/>
          <w:color w:val="3A4A28"/>
          <w:sz w:val="20"/>
        </w:rPr>
        <w:t>The bear case is dominated by binary regulatory and commercial risk. The stock has declined 42% from its SMA-50 ($23.57 to $13.73), suggesting the market is pricing in meaningful PDUFA risk or competitive concerns from Amgen's established Tepezza franchise [4]. The company burned $342.6M in 2025 with negative ROE of -49.2%, and even with $874.7M in cash, a failed approval would sharply erode the cash runway and equity value. The TED market is increasingly competitive with Tepezza dominating, and veligrotug must demonstrate differentiated clinical outcomes to gain formulary access and prescriber adoption. Glassdoor ratings (3.6/5, 59% recommend) and reports of confrontational leadership raise organizational execution risk at a critical commercialization juncture [2]. Insider selling (Kopp Family Office trimming $3.5M) at current depressed prices adds to concern about near-term sentiment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Veligrotug PDUFA target action date of June 30, 2026 under Priority Review — approval would transform Viridian from clinical-stage to commercial biotech in the $3B+ TED market [1]</w:t>
      </w:r>
    </w:p>
    <w:p>
      <w:pPr>
        <w:spacing w:before="40" w:after="40"/>
        <w:ind w:left="283"/>
      </w:pPr>
      <w:r>
        <w:rPr>
          <w:rFonts w:ascii="Calibri" w:hAnsi="Calibri"/>
          <w:b/>
          <w:color w:val="4A6B25"/>
          <w:sz w:val="20"/>
        </w:rPr>
        <w:t xml:space="preserve">2. </w:t>
      </w:r>
      <w:r>
        <w:rPr>
          <w:rFonts w:ascii="Calibri" w:hAnsi="Calibri"/>
          <w:b w:val="0"/>
          <w:color w:val="3A4A28"/>
          <w:sz w:val="20"/>
        </w:rPr>
        <w:t>Elegrobart Phase 3 REVEAL-1 and REVEAL-2 topline results expected Q1 and Q2 2026, potentially establishing the first subcutaneous anti-IGF-1R therapy for TED [1]</w:t>
      </w:r>
    </w:p>
    <w:p>
      <w:pPr>
        <w:spacing w:before="40" w:after="40"/>
        <w:ind w:left="283"/>
      </w:pPr>
      <w:r>
        <w:rPr>
          <w:rFonts w:ascii="Calibri" w:hAnsi="Calibri"/>
          <w:b/>
          <w:color w:val="4A6B25"/>
          <w:sz w:val="20"/>
        </w:rPr>
        <w:t xml:space="preserve">3. </w:t>
      </w:r>
      <w:r>
        <w:rPr>
          <w:rFonts w:ascii="Calibri" w:hAnsi="Calibri"/>
          <w:b w:val="0"/>
          <w:color w:val="3A4A28"/>
          <w:sz w:val="20"/>
        </w:rPr>
        <w:t>VRDN-008 (half-life extended FcRn inhibitor) Phase 1 data in 2H 2026 and TSHR-targeting IND in Q4 2026, expanding the addressable market beyond TED into Graves' disease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PDUFA risk — FDA rejection or CRL for veligrotug would devastate the stock given the company's single-product near-term commercial thesis and $342.6M annual cash burn [1]</w:t>
      </w:r>
    </w:p>
    <w:p>
      <w:pPr>
        <w:spacing w:before="40" w:after="40"/>
        <w:ind w:left="283"/>
      </w:pPr>
      <w:r>
        <w:rPr>
          <w:rFonts w:ascii="Calibri" w:hAnsi="Calibri"/>
          <w:b/>
          <w:color w:val="4A6B25"/>
          <w:sz w:val="20"/>
        </w:rPr>
        <w:t xml:space="preserve">2. </w:t>
      </w:r>
      <w:r>
        <w:rPr>
          <w:rFonts w:ascii="Calibri" w:hAnsi="Calibri"/>
          <w:b w:val="0"/>
          <w:color w:val="3A4A28"/>
          <w:sz w:val="20"/>
        </w:rPr>
        <w:t>Commercial execution risk against Amgen's established Tepezza franchise, which has first-mover advantage, existing prescriber relationships, and reimbursement infrastructure in TED [1]</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concerns — Glassdoor 3.6/5, confrontational leadership communication, and executive-frontline disconnect could impair execution during the critical commercialization ramp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Viridian's business — developing and commercializing biologic therapies (monoclonal antibodies) for thyroid eye disease — is structurally immune to AI disruption. The core value creation involves clinical-stage drug development, regulatory approval (BLA/PDUFA), and physical drug manufacturing and distribution, none of which can be replaced by AI [2]. The TED treatment market requires FDA-approved biologics administered by ophthalmologists and endocrinologists, creating regulatory and physical moats that AI cannot circumvent. AI may enhance drug discovery timelines for future pipeline programs, but the existing late-stage candidates are already in Phase 3/BLA review. AI Opportunity (0/1): Viridian does not generate revenue from AI products; AI is a potential R&amp;D efficiency tool but not a revenue contributor.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Viridian Therapeutics — 'Prepares for Transformational 2026' press release, veligrotug BLA Priority Review, PDUFA June 30 2026, pipeline updates, January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Viridian Therapeutics (MA) reviews, 3.6/5 rating, 59% recommend, leadership culture commentary,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Kopp Family Office trims $3.5M Viridian Therapeutics stake — The Motley Fool,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VRDN (Viridian Therapeutics),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