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VRE</w:t>
      </w:r>
      <w:r>
        <w:rPr>
          <w:rFonts w:ascii="Calibri" w:hAnsi="Calibri"/>
          <w:b/>
          <w:color w:val="1A2010"/>
          <w:sz w:val="40"/>
        </w:rPr>
        <w:t xml:space="preserve">  Veris Residential, Inc.</w:t>
      </w:r>
    </w:p>
    <w:p>
      <w:pPr>
        <w:spacing w:after="120"/>
      </w:pPr>
      <w:r>
        <w:rPr>
          <w:rFonts w:ascii="Calibri" w:hAnsi="Calibri"/>
          <w:b/>
          <w:color w:val="6E8450"/>
          <w:sz w:val="18"/>
        </w:rPr>
        <w:t>GROWTH SLEEVE · 2026-04-25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Veris Residential is a forward-thinking REIT that primarily owns, operates, acquires, and develops premier Class A multifamily properties in the Northeast United States. The company operates a technology-enabled, vertically integrated platform delivering contemporary living experiences. A pending all-cash merger at $19.00 per share has been announced.</w:t>
      </w:r>
    </w:p>
    <w:p>
      <w:r>
        <w:rPr>
          <w:rFonts w:ascii="Calibri" w:hAnsi="Calibri"/>
          <w:b/>
          <w:color w:val="6E8450"/>
          <w:sz w:val="18"/>
        </w:rPr>
        <w:t>181 Employees · https://www.verisresidential.com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Mahbod Nia, Veris successfully transformed from a diversified office/multifamily REIT (formerly Mack-Cali Realty) into a pure-play Class A multifamily REIT, divesting commercial assets and simplifying operations — a meaningful strategic pivot [1][2]. However, revenue has remained flat-to-declining at ~$292M with -1.6% YoY contraction [5]. AI Deployment (1/2): Veris developed Quinn, a virtual AI leasing assistant that improved lead generation, and created the Prism sub-brand for strategic AI/technology implementation focused on identifying operational friction points and transforming them into efficiencies [3]. No specific cost savings or revenue impact quantified. Market Share (0/2): Veris is a small REIT with $1.8B market cap operating Class A multifamily in the competitive Northeast corridor — no category leadership. Pipeline (0/2): A pending all-cash merger at $19.00/share effectively terminates the independent development pipeline [1]. R&amp;D Intensity (0/1): As a REIT, Veris has no meaningful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 articulates a clear purpose of 'creating inspiring communities while prioritizing environmental responsibility' with a technology-enabled, vertically integrated platform [3]. The mission identifies what the company does and for whom but doesn't transcend the industry. Community Impact (1/2): Veris earned GRESB 5-Star rating for two consecutive years, achieved ISS QualityScore of 1 for Environmental and Social disclosures, and validated SBTi targets to reduce Scope 1 and 2 emissions 50% by 2030 [4]. 100% renewable electricity across the wholly owned portfolio. Employee Retention (1/2): Named to NJBIZ Best Places to Work in New Jersey for three consecutive years, suggesting strong workplace culture for a 181-person organization [3]. Insider Buying (0/2): No meaningful insider buying identified; with a pending $19/share cash buyout, insider transactions are muted by the merger context.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passed: 1,729,582 avg volume x $18.93 = $32.7M daily [5]. Growth stock calculation (dividend yield 1.69% &lt; 2%): D/E 109.4% scores 0.83, ROE 5.9% scores 0.39 (2x weight), Revenue Growth YoY -1.6% scores 0.61, Profit Margin 24.6% scores 1.0, Forward PEG 8.59 scores 0.0 (2x weight) [5]. Forward P/E is negative (negative forward earnings) and 5yr revenue CAGR unavailable — both excluded. Weighted sum: (1x0.83)+(2x0.39)+(1x0.61)+(1x1.0)+(2x0.0) = 3.22 out of max 7.0 = 4.6 -&gt; rounds to 5. The pending $19/share merger effectively caps upside and provides a valuation floor. Net debt-to-EBITDA targeted below 9x by year-end 2026, and operating cash flow of $76.8M supports the dividend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Veris Residential's strategic transformation from a diversified REIT to a pure-play multifamily operator demonstrated genuine flexibility and courage, but the pending $19/share cash buyout signals an exit rather than an enduring commitment to a Just Cause. The company built real ESG credentials and workplace culture (Best Places to Work 3x), but selling to a private buyer suggests the leadership ultimately chose a finite exit over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Veris's purpose of 'creating inspiring communities while prioritizing environmental responsibility' is genuine and backed by action (GRESB 5-Star, SBTi targets, 100% renewable electricity) [3][4]. However, the pending sale to a private buyer at $19/share indicates this cause was not strong enough to sustain an independent public company. A Just Cause worth sacrificing for does not end in a cash buyout. Score: 1 pt -&gt; 4/10.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Three consecutive years on NJBIZ Best Places to Work list is meaningful recognition for a 181-person organization, suggesting genuine employee satisfaction and cultural health [3]. Leadership appears stable under CEO Mahbod Nia. However, the pending merger creates inherent organizational uncertainty. Score: 1 pt -&gt;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Veris acknowledging competitors' strengths or articulating a learning-oriented competitive mindset. The company's communications focus on its own ESG leadership and transformation narrative without referencing how larger peers like AvalonBay, Equity Residential, or Essex Property Trust push it to improve. Score: 0 pts -&gt;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Mack-Cali Realty (a diversified office/multifamily REIT) into Veris Residential (a pure-play Class A multifamily REIT) was a meaningful strategic pivot under CEO Nia, involving significant asset dispositions and business model simplification [2]. This demonstrated willingness to abandon legacy commercial assets. However, the pivot was incremental rather than transformative. Score: 1 pt -&gt;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Nia showed courage in executing the strategic transformation — divesting commercial office assets during challenging market conditions, simplifying the portfolio, and refocusing entirely on multifamily [2]. Core FFO guidance was raised to $0.63-$0.64/share (5-7% growth), showing operational improvement from the pivot [1]. However, ultimately accepting a buyout rather than continuing the transformation independently tempers the courage assessment. Score: 1 pt -&gt;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 Residential has successfully transformed from a diversified office/multifamily REIT into a focused Class A multifamily operator in the Northeast, with a pending all-cash merger at $19.00 per share providing a clear valuation floor [1]. Q4 2025 same-store NOI grew 5.9% with blended net rental growth of 2.5%, and Core FFO guidance was raised to $0.63-$0.64/share (5-7% growth vs. 2024) [1]. The company operates 181 employees with strong ESG credentials (GRESB 5-Star, SBTi validated) and 62% gross margins on $292M annual revenue [4][5]. Operating cash flow of $76.8M supports the $0.32/share annual dividend while the buyout provides downside protection.</w:t>
      </w:r>
    </w:p>
    <w:p>
      <w:pPr>
        <w:spacing w:after="120"/>
      </w:pPr>
      <w:r>
        <w:rPr>
          <w:rFonts w:ascii="Calibri" w:hAnsi="Calibri"/>
          <w:b w:val="0"/>
          <w:color w:val="3A4A28"/>
          <w:sz w:val="20"/>
        </w:rPr>
        <w:t>The bear case centers on the pending buyout capping upside and the underlying metrics absent the deal. Revenue contracted -1.6% YoY despite a strong multifamily market, and ROE of 5.9% is well below the 15% target for quality REITs [5]. D/E of 109% reflects significant leverage with $1.37B total debt against only $9.4M cash, and net debt-to-EBITDA remains elevated (targeting sub-9x by year-end 2026) [1][5]. Forward P/E is negative, indicating expected GAAP losses ahead. The 1.69% dividend yield is below the 2% threshold for income investors. Without the $19 buyout, the stock would face scrutiny for negative earnings growth, below-average ROE, and a PEG ratio of 8.59 suggesting extreme overvaluation relative to growth [5]. Deal break risk is the key near-term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all-cash merger at $19.00 per share provides near-term upside from current levels and a hard valuation floor [1]</w:t>
      </w:r>
    </w:p>
    <w:p>
      <w:pPr>
        <w:spacing w:before="40" w:after="40"/>
        <w:ind w:left="283"/>
      </w:pPr>
      <w:r>
        <w:rPr>
          <w:rFonts w:ascii="Calibri" w:hAnsi="Calibri"/>
          <w:b/>
          <w:color w:val="4A6B25"/>
          <w:sz w:val="20"/>
        </w:rPr>
        <w:t xml:space="preserve">2. </w:t>
      </w:r>
      <w:r>
        <w:rPr>
          <w:rFonts w:ascii="Calibri" w:hAnsi="Calibri"/>
          <w:b w:val="0"/>
          <w:color w:val="3A4A28"/>
          <w:sz w:val="20"/>
        </w:rPr>
        <w:t>Same-store NOI growth of 5.9% (Q4 2025) and Core FFO guidance raised to $0.63-$0.64/share demonstrate improving operational fundamentals [1]</w:t>
      </w:r>
    </w:p>
    <w:p>
      <w:pPr>
        <w:spacing w:before="40" w:after="40"/>
        <w:ind w:left="283"/>
      </w:pPr>
      <w:r>
        <w:rPr>
          <w:rFonts w:ascii="Calibri" w:hAnsi="Calibri"/>
          <w:b/>
          <w:color w:val="4A6B25"/>
          <w:sz w:val="20"/>
        </w:rPr>
        <w:t xml:space="preserve">3. </w:t>
      </w:r>
      <w:r>
        <w:rPr>
          <w:rFonts w:ascii="Calibri" w:hAnsi="Calibri"/>
          <w:b w:val="0"/>
          <w:color w:val="3A4A28"/>
          <w:sz w:val="20"/>
        </w:rPr>
        <w:t>Net debt-to-EBITDA reduction target below 9x by year-end 2026 would strengthen balance sheet and support valuation in deal-break scenario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break risk — if the $19/share cash merger fails to close, shares could reprice significantly lower given negative forward earnings and 8.59x PEG ratio [1][5]</w:t>
      </w:r>
    </w:p>
    <w:p>
      <w:pPr>
        <w:spacing w:before="40" w:after="40"/>
        <w:ind w:left="283"/>
      </w:pPr>
      <w:r>
        <w:rPr>
          <w:rFonts w:ascii="Calibri" w:hAnsi="Calibri"/>
          <w:b/>
          <w:color w:val="4A6B25"/>
          <w:sz w:val="20"/>
        </w:rPr>
        <w:t xml:space="preserve">2. </w:t>
      </w:r>
      <w:r>
        <w:rPr>
          <w:rFonts w:ascii="Calibri" w:hAnsi="Calibri"/>
          <w:b w:val="0"/>
          <w:color w:val="3A4A28"/>
          <w:sz w:val="20"/>
        </w:rPr>
        <w:t>Elevated leverage — $1.37B total debt vs. $9.4M cash with D/E of 109% creates refinancing risk in a higher-rate environment [5]</w:t>
      </w:r>
    </w:p>
    <w:p>
      <w:pPr>
        <w:spacing w:before="40" w:after="40"/>
        <w:ind w:left="283"/>
      </w:pPr>
      <w:r>
        <w:rPr>
          <w:rFonts w:ascii="Calibri" w:hAnsi="Calibri"/>
          <w:b/>
          <w:color w:val="4A6B25"/>
          <w:sz w:val="20"/>
        </w:rPr>
        <w:t xml:space="preserve">3. </w:t>
      </w:r>
      <w:r>
        <w:rPr>
          <w:rFonts w:ascii="Calibri" w:hAnsi="Calibri"/>
          <w:b w:val="0"/>
          <w:color w:val="3A4A28"/>
          <w:sz w:val="20"/>
        </w:rPr>
        <w:t>Revenue contraction of -1.6% YoY and ROE of 5.9% suggest the pure-play multifamily strategy has not yet delivered the growth or returns needed to justify independent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Veris Residential's core business — owning, operating, and leasing Class A multifamily apartment buildings in the Northeast — is structurally protected from AI disruption [1]. Physical real estate assets cannot be replaced or displaced by AI. Tenant demand for housing is a fundamental human need that AI cannot substitute. Regulatory requirements, zoning, and the capital intensity of real estate development create deep moats. AI may marginally improve property management efficiency but does not threaten the underlying business model. AI Opportunity (0/1): While Veris has deployed Quinn (AI virtual leasing assistant) and the Prism technology initiative, these are operational efficiencies rather than meaningful revenue-generating AI products [3]. No AI-driven revenue has been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 Residential Q4/Full-Year 2025 Earnings and $19/share merger announcement — same-store NOI growth 5.9%, Core FFO raised to $0.63-$0.64</w:t>
      </w:r>
    </w:p>
    <w:p>
      <w:pPr>
        <w:spacing w:before="20" w:after="20"/>
        <w:ind w:left="170"/>
      </w:pPr>
      <w:r>
        <w:rPr>
          <w:rFonts w:ascii="Calibri" w:hAnsi="Calibri"/>
          <w:b/>
          <w:color w:val="4A6B25"/>
          <w:sz w:val="15"/>
        </w:rPr>
        <w:t xml:space="preserve">2. </w:t>
      </w:r>
      <w:r>
        <w:rPr>
          <w:rFonts w:ascii="Calibri" w:hAnsi="Calibri"/>
          <w:b w:val="0"/>
          <w:color w:val="3A4A28"/>
          <w:sz w:val="17"/>
        </w:rPr>
        <w:t>MatrixBCG — Veris Residential transformation history from Mack-Cali Realty to pure-play multifamily REIT</w:t>
      </w:r>
    </w:p>
    <w:p>
      <w:pPr>
        <w:spacing w:before="20" w:after="20"/>
        <w:ind w:left="170"/>
      </w:pPr>
      <w:r>
        <w:rPr>
          <w:rFonts w:ascii="Calibri" w:hAnsi="Calibri"/>
          <w:b/>
          <w:color w:val="4A6B25"/>
          <w:sz w:val="15"/>
        </w:rPr>
        <w:t xml:space="preserve">3. </w:t>
      </w:r>
      <w:r>
        <w:rPr>
          <w:rFonts w:ascii="Calibri" w:hAnsi="Calibri"/>
          <w:b w:val="0"/>
          <w:color w:val="3A4A28"/>
          <w:sz w:val="17"/>
        </w:rPr>
        <w:t>Veris Residential corporate website — Prism AI initiative, Quinn virtual leasing assistant, Best Places to Work recognition</w:t>
      </w:r>
    </w:p>
    <w:p>
      <w:pPr>
        <w:spacing w:before="20" w:after="20"/>
        <w:ind w:left="170"/>
      </w:pPr>
      <w:r>
        <w:rPr>
          <w:rFonts w:ascii="Calibri" w:hAnsi="Calibri"/>
          <w:b/>
          <w:color w:val="4A6B25"/>
          <w:sz w:val="15"/>
        </w:rPr>
        <w:t xml:space="preserve">4. </w:t>
      </w:r>
      <w:r>
        <w:rPr>
          <w:rFonts w:ascii="Calibri" w:hAnsi="Calibri"/>
          <w:b w:val="0"/>
          <w:color w:val="3A4A28"/>
          <w:sz w:val="17"/>
        </w:rPr>
        <w:t>PR Newswire / Investors.verisresidential.com — ESG achievements: GRESB 5-Star, ISS QualityScore 1, SBTi validated targets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VRE — key statistics, financial metrics, accessed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