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VST</w:t>
      </w:r>
      <w:r>
        <w:rPr>
          <w:rFonts w:ascii="Calibri" w:hAnsi="Calibri"/>
          <w:b/>
          <w:color w:val="1A2010"/>
          <w:sz w:val="40"/>
        </w:rPr>
        <w:t xml:space="preserve">  Vistra Corp.</w:t>
      </w:r>
    </w:p>
    <w:p>
      <w:pPr>
        <w:spacing w:after="120"/>
      </w:pPr>
      <w:r>
        <w:rPr>
          <w:rFonts w:ascii="Calibri" w:hAnsi="Calibri"/>
          <w:b/>
          <w:color w:val="6E8450"/>
          <w:sz w:val="18"/>
        </w:rPr>
        <w:t>GROWTH SLEEVE · 2026-04-06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Independent Power Producers · NYSE · United States</w:t>
      </w:r>
    </w:p>
    <w:p>
      <w:pPr>
        <w:spacing w:after="80"/>
      </w:pPr>
      <w:r>
        <w:rPr>
          <w:rFonts w:ascii="Calibri" w:hAnsi="Calibri"/>
          <w:b w:val="0"/>
          <w:color w:val="3A4A28"/>
          <w:sz w:val="20"/>
        </w:rPr>
        <w:t>Vistra Corp. is an integrated retail electricity and power generation company operating approximately 44,000 MW of generation capacity across natural gas, nuclear, coal, solar, and battery storage facilities. The company serves approximately 5 million retail customers and owns the second-largest competitive nuclear fleet in the United States, including the Comanche Peak Nuclear Plant in Texas and PJM nuclear facilities acquired through Energy Harbor.</w:t>
      </w:r>
    </w:p>
    <w:p>
      <w:r>
        <w:rPr>
          <w:rFonts w:ascii="Calibri" w:hAnsi="Calibri"/>
          <w:b/>
          <w:color w:val="6E8450"/>
          <w:sz w:val="18"/>
        </w:rPr>
        <w:t>6,390 Employees · https://vistracorp.com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CEO Jim Burke's 'Energy Harbor Pivot' was transformative — the acquisition of Energy Harbor's nuclear fleet repositioned Vistra from a legacy coal/gas utility to a strategic AI infrastructure provider, with 20-year PPAs signed with Meta (2,600+ MW) and Amazon [1][2]. This pivot fundamentally changed the company's growth trajectory and investor narrative. AI Deployment (1/2): Vistra is deploying AI for grid optimization and predictive maintenance across its fleet, but AI is primarily a demand driver rather than a product — the company is a power supplier to AI data centers, not an AI product company [2]. Market Share (2/2): Vistra operates the second-largest competitive nuclear fleet in the U.S. and is among the largest retail electricity providers with ~5M customers, giving it a unique dual position as both a baseload power provider and retail distributor [1]. Pipeline (1/2): Plans to build two new 860 MW natural gas units in West Texas and nuclear uprate opportunities provide growth visibility, but the pipeline is incremental capacity expansion rather than transformative new products [1]. R&amp;D Intensity (0/1): Utility-sector R&amp;D intensity is inherently low; Vistra invests in operational technology but not at levels that distinguish it from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Vistra's focus on providing reliable, affordable energy while transitioning to cleaner generation is clear and relevant, but it's a standard utility purpose statement that doesn't differentiate from peers [3]. The commitment to 60% CO2 reduction by 2030 and net zero by 2050 adds specificity. Community Impact (1/2): Vistra serves 5 million retail customers and employs 6,390 people across the U.S.; however, the Martin Lake coal plant's status as the nation's top sulfur dioxide and mercury polluter creates significant community health concerns that undermine social impact claims [4]. Employee Retention (1/2): Burke's 'One Team' integration culture following the Energy Harbor and Cogentrix acquisitions demonstrates organizational focus, and the 'safety-first' culture essential for nuclear operations suggests a stable work environment, but no specific retention metrics are available [2]. Insider Buying (2/2): CEO Burke has been a significant buyer of VST shares, demonstrating strong conviction in the company's AI-power strategy; his equity alignment is notable given the transformative strategic pivot underway.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Vistra's financial profile shows strong growth metrics offset by elevated leverage. D/E of 399.6% is well above the 300% floor, scoring 0 on this metric — reflecting the capital-intensive utility model and acquisition-driven growth [5]. ROE of 17.7% exceeds the 15% target. Revenue growth of 13.6% YoY is strong for a utility, with 5-year CAGR of ~9.2%. Forward P/E of 13.5x is highly attractive given 2026 EBITDA guidance of $6.8-7.6B (up from $5.9B in 2025) and forward EPS of $11.27 [1]. Profit margin of 5.3% is low but improving — adjusted FCFbG per share projected to exceed $12.5 in 2026 and ~$16 near-term [1]. The 20-year Meta and Amazon nuclear PPAs provide exceptional revenue visibility. Liquidity floor cleared at $841M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Vistra under Jim Burke demonstrates meaningful infinite game qualities — the transformative Energy Harbor acquisition to pivot toward nuclear/AI infrastructure, the 20-year PPA strategy that prioritizes long-term revenue visibility over short-term pricing, and the commitment to 60% emissions reduction by 2030 all suggest a company playing to endure. However, the continued operation of heavily polluting coal plants alongside clean energy ambitions creates tension.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Vistra's evolving purpose of providing reliable, clean baseload power to enable the AI and clean energy transitions is genuine and increasingly distinctive [1][2]. The pivot from coal-heavy legacy utility to nuclear-powered AI infrastructure provider represents a company aligning its business with a larger societal need. However, the cause is partially lived — Martin Lake coal plant remains one of the nation's worst polluters even as Vistra markets itself as a clean energy provider [4].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Burke's 'One Team' integration philosophy across the Energy Harbor and Cogentrix acquisitions demonstrates commitment to organizational cohesion [2]. The safety-first culture essential for operating a six-reactor nuclear fleet requires high-trust teams — nuclear plant operations literally cannot function without psychological safety and empowered workers. However, integration of multiple acquisitions inherently creates organizational disruption.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Vistra acknowledges Constellation Energy as a worthy rival in nuclear power for AI data centers, and management's response has been to improve their own offering (signing competitive PPAs, pursuing nuclear uprates) rather than focusing on defeating the competition [1]. The competitive dynamic with Constellation has pushed both companies to innovate in nuclear-AI partnerships.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Energy Harbor acquisition and subsequent pivot to nuclear-powered AI infrastructure represents meaningful strategic flexibility — Burke fundamentally repositioned Vistra's identity from a legacy power generator to a mission-critical AI infrastructure provider [2]. The company is also evolving from coal to gas/nuclear/solar, showing willingness to transform the generation mix. These are significant but incremental shifts rather than transformative reinventions.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Burke took the courageous step of acquiring Energy Harbor's nuclear fleet and signing 20-year PPAs at a time when nuclear energy was politically controversial, betting that nuclear would become essential for AI data center baseload power before this thesis was consensus [1][2]. The commitment to $4.3B+ in annual capex for new gas capacity and fleet optimization demonstrates willingness to invest heavily for long-term capability.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Vistra is uniquely positioned as an AI infrastructure play within the utility sector, combining the second-largest competitive nuclear fleet in the U.S. (~44,000 MW total capacity) with a 5-million-customer retail electricity business. The company's 2026 EBITDA guidance of $6.8-7.6B represents 15-29% growth over 2025's $5.9B, driven by 20-year nuclear PPAs with Meta (2,600+ MW) and Amazon that lock in premium pricing for decades [1]. At 13.5x forward P/E with forward EPS of $11.27 and adjusted FCFbG projected to exceed $12.5/share in 2026, VST offers compelling value for a regulated asset base with exceptional demand visibility [1]. The structural increase in U.S. electricity demand (record levels in 2025, up 2.5% YoY) driven by data center buildouts provides a secular tailwind that differentiates Vistra from traditional utilities.</w:t>
      </w:r>
    </w:p>
    <w:p>
      <w:pPr>
        <w:spacing w:after="120"/>
      </w:pPr>
      <w:r>
        <w:rPr>
          <w:rFonts w:ascii="Calibri" w:hAnsi="Calibri"/>
          <w:b w:val="0"/>
          <w:color w:val="3A4A28"/>
          <w:sz w:val="20"/>
        </w:rPr>
        <w:t>The bear case centers on leverage, environmental liabilities, and regulatory risk. D/E of 399.6% is extremely elevated, reflecting acquisition-driven growth that leaves little margin for error if power prices decline or interest rates remain high. Profit margin of only 5.3% and trailing P/E of 69.5x (depressed by one-time items) indicate that current profitability is thin despite the growth narrative. The Martin Lake coal plant remains the nation's top sulfur dioxide and mercury polluter, creating ongoing regulatory and reputational risk that could result in forced early retirement and asset write-downs [4]. EPS declined 52.3% YoY in 2025 due to integration costs and accounting items, though forward estimates suggest recovery. Regulatory risk in ERCOT (Texas deregulated market) and PJM is significant — changes to capacity market rules or emissions standards could materially impact economics. The nuclear fleet carries inherent operational risk; an unplanned outage at Comanche Peak or PJM facilities during a PPA period would trigger financial penalties and reputational damage.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realization of 20-year Meta and Amazon nuclear PPAs in 2026, driving EBITDA toward the $6.8-7.6B guidance range with premium contracted pricing [1]</w:t>
      </w:r>
    </w:p>
    <w:p>
      <w:pPr>
        <w:spacing w:before="40" w:after="40"/>
        <w:ind w:left="283"/>
      </w:pPr>
      <w:r>
        <w:rPr>
          <w:rFonts w:ascii="Calibri" w:hAnsi="Calibri"/>
          <w:b/>
          <w:color w:val="4A6B25"/>
          <w:sz w:val="20"/>
        </w:rPr>
        <w:t xml:space="preserve">2. </w:t>
      </w:r>
      <w:r>
        <w:rPr>
          <w:rFonts w:ascii="Calibri" w:hAnsi="Calibri"/>
          <w:b w:val="0"/>
          <w:color w:val="3A4A28"/>
          <w:sz w:val="20"/>
        </w:rPr>
        <w:t>Nuclear uprate opportunities and additional hyperscaler PPA signings that could add incremental high-margin revenue beyond current guidance [1]</w:t>
      </w:r>
    </w:p>
    <w:p>
      <w:pPr>
        <w:spacing w:before="40" w:after="40"/>
        <w:ind w:left="283"/>
      </w:pPr>
      <w:r>
        <w:rPr>
          <w:rFonts w:ascii="Calibri" w:hAnsi="Calibri"/>
          <w:b/>
          <w:color w:val="4A6B25"/>
          <w:sz w:val="20"/>
        </w:rPr>
        <w:t xml:space="preserve">3. </w:t>
      </w:r>
      <w:r>
        <w:rPr>
          <w:rFonts w:ascii="Calibri" w:hAnsi="Calibri"/>
          <w:b w:val="0"/>
          <w:color w:val="3A4A28"/>
          <w:sz w:val="20"/>
        </w:rPr>
        <w:t>New 860 MW natural gas capacity in West Texas and potential additional gas plant acquisitions to serve growing ERCOT data center load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at 399.6% D/E leaves limited financial flexibility if power prices decline or integration costs exceed expectations [5]</w:t>
      </w:r>
    </w:p>
    <w:p>
      <w:pPr>
        <w:spacing w:before="40" w:after="40"/>
        <w:ind w:left="283"/>
      </w:pPr>
      <w:r>
        <w:rPr>
          <w:rFonts w:ascii="Calibri" w:hAnsi="Calibri"/>
          <w:b/>
          <w:color w:val="4A6B25"/>
          <w:sz w:val="20"/>
        </w:rPr>
        <w:t xml:space="preserve">2. </w:t>
      </w:r>
      <w:r>
        <w:rPr>
          <w:rFonts w:ascii="Calibri" w:hAnsi="Calibri"/>
          <w:b w:val="0"/>
          <w:color w:val="3A4A28"/>
          <w:sz w:val="20"/>
        </w:rPr>
        <w:t>Environmental liability from Martin Lake and remaining coal assets — the nation's top sulfur dioxide and mercury polluter faces forced retirement risk from tightening EPA regulations [4]</w:t>
      </w:r>
    </w:p>
    <w:p>
      <w:pPr>
        <w:spacing w:before="40" w:after="40"/>
        <w:ind w:left="283"/>
      </w:pPr>
      <w:r>
        <w:rPr>
          <w:rFonts w:ascii="Calibri" w:hAnsi="Calibri"/>
          <w:b/>
          <w:color w:val="4A6B25"/>
          <w:sz w:val="20"/>
        </w:rPr>
        <w:t xml:space="preserve">3. </w:t>
      </w:r>
      <w:r>
        <w:rPr>
          <w:rFonts w:ascii="Calibri" w:hAnsi="Calibri"/>
          <w:b w:val="0"/>
          <w:color w:val="3A4A28"/>
          <w:sz w:val="20"/>
        </w:rPr>
        <w:t>Nuclear operational risk — an extended unplanned outage at Comanche Peak or PJM facilities during contracted PPA periods would create material financial and reputational damage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Vistra is structurally immune to AI disruption and is one of the primary beneficiaries of AI buildout — every hyperscale data center requires 24/7 baseload power, and Vistra's nuclear fleet provides exactly that [1][2]. The company signed 20-year PPAs with Meta (2,600+ MW nuclear) and Amazon, locking in decades of AI-driven demand at premium pricing. U.S. electricity demand hit record levels in 2025 (up 2.5% YoY) driven by data center growth, with sustained growth expected through 2027+ [1]. Physical power generation is the ultimate AI-immune business — AI cannot generate electrons. AI Opportunity (1/1): Vistra generates direct revenue from AI infrastructure through long-term nuclear PPAs with hyperscalers. The Meta deal alone covers 2,600+ MW across PJM nuclear facilities, and the Comanche Peak 1,200 MW PPA further monetizes nuclear capacity for AI data center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Vistra Q3 2025 Earnings Release and 2026 Guidance — $5.9B 2025 EBITDA, $6.8-7.6B 2026 guidance, Meta/Amazon PPAs, November 2025</w:t>
      </w:r>
    </w:p>
    <w:p>
      <w:pPr>
        <w:spacing w:before="20" w:after="20"/>
        <w:ind w:left="170"/>
      </w:pPr>
      <w:r>
        <w:rPr>
          <w:rFonts w:ascii="Calibri" w:hAnsi="Calibri"/>
          <w:b/>
          <w:color w:val="4A6B25"/>
          <w:sz w:val="15"/>
        </w:rPr>
        <w:t xml:space="preserve">2. </w:t>
      </w:r>
      <w:r>
        <w:rPr>
          <w:rFonts w:ascii="Calibri" w:hAnsi="Calibri"/>
          <w:b w:val="0"/>
          <w:color w:val="3A4A28"/>
          <w:sz w:val="17"/>
        </w:rPr>
        <w:t>FinancialContent — 'The Nuclear Renaissance: Why Vistra Corp is the Bedrock of the AI Era,' January 2026; 'The AI Powerhouse,' March 2026</w:t>
      </w:r>
    </w:p>
    <w:p>
      <w:pPr>
        <w:spacing w:before="20" w:after="20"/>
        <w:ind w:left="170"/>
      </w:pPr>
      <w:r>
        <w:rPr>
          <w:rFonts w:ascii="Calibri" w:hAnsi="Calibri"/>
          <w:b/>
          <w:color w:val="4A6B25"/>
          <w:sz w:val="15"/>
        </w:rPr>
        <w:t xml:space="preserve">3. </w:t>
      </w:r>
      <w:r>
        <w:rPr>
          <w:rFonts w:ascii="Calibri" w:hAnsi="Calibri"/>
          <w:b w:val="0"/>
          <w:color w:val="3A4A28"/>
          <w:sz w:val="17"/>
        </w:rPr>
        <w:t>Vistra Corp Sustainability Report — emissions reduction targets, 60% CO2 reduction by 2030, net zero by 2050</w:t>
      </w:r>
    </w:p>
    <w:p>
      <w:pPr>
        <w:spacing w:before="20" w:after="20"/>
        <w:ind w:left="170"/>
      </w:pPr>
      <w:r>
        <w:rPr>
          <w:rFonts w:ascii="Calibri" w:hAnsi="Calibri"/>
          <w:b/>
          <w:color w:val="4A6B25"/>
          <w:sz w:val="15"/>
        </w:rPr>
        <w:t xml:space="preserve">4. </w:t>
      </w:r>
      <w:r>
        <w:rPr>
          <w:rFonts w:ascii="Calibri" w:hAnsi="Calibri"/>
          <w:b w:val="0"/>
          <w:color w:val="3A4A28"/>
          <w:sz w:val="17"/>
        </w:rPr>
        <w:t>Sierra Club — 'Vistra Continues to Operate Martin Lake Coal Plant, the Top Sulfur and Mercury Polluter in the U.S.,' October 2020</w:t>
      </w:r>
    </w:p>
    <w:p>
      <w:pPr>
        <w:spacing w:before="20" w:after="20"/>
        <w:ind w:left="170"/>
      </w:pPr>
      <w:r>
        <w:rPr>
          <w:rFonts w:ascii="Calibri" w:hAnsi="Calibri"/>
          <w:b/>
          <w:color w:val="4A6B25"/>
          <w:sz w:val="15"/>
        </w:rPr>
        <w:t xml:space="preserve">5. </w:t>
      </w:r>
      <w:r>
        <w:rPr>
          <w:rFonts w:ascii="Calibri" w:hAnsi="Calibri"/>
          <w:b w:val="0"/>
          <w:color w:val="3A4A28"/>
          <w:sz w:val="17"/>
        </w:rPr>
        <w:t>Yahoo Finance — VST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