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VTEX</w:t>
      </w:r>
      <w:r>
        <w:rPr>
          <w:rFonts w:ascii="Calibri" w:hAnsi="Calibri"/>
          <w:b/>
          <w:color w:val="1A2010"/>
          <w:sz w:val="40"/>
        </w:rPr>
        <w:t xml:space="preserve">  VTEX</w:t>
      </w:r>
    </w:p>
    <w:p>
      <w:pPr>
        <w:spacing w:after="120"/>
      </w:pPr>
      <w:r>
        <w:rPr>
          <w:rFonts w:ascii="Calibri" w:hAnsi="Calibri"/>
          <w:b/>
          <w:color w:val="6E8450"/>
          <w:sz w:val="18"/>
        </w:rPr>
        <w:t>GROWTH SLEEVE · 2026-05-02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Brazil</w:t>
      </w:r>
    </w:p>
    <w:p>
      <w:pPr>
        <w:spacing w:after="80"/>
      </w:pPr>
      <w:r>
        <w:rPr>
          <w:rFonts w:ascii="Calibri" w:hAnsi="Calibri"/>
          <w:b w:val="0"/>
          <w:color w:val="3A4A28"/>
          <w:sz w:val="20"/>
        </w:rPr>
        <w:t>VTEX provides a software-as-a-service digital commerce platform for enterprise brands and retailers. The company's platform enables customers to execute commerce strategy across B2C, B2B, and marketplace channels, serving 2,200+ customers including Carrefour, Colgate, Sony, and Whirlpool across 44 countries.</w:t>
      </w:r>
    </w:p>
    <w:p>
      <w:r>
        <w:rPr>
          <w:rFonts w:ascii="Calibri" w:hAnsi="Calibri"/>
          <w:b/>
          <w:color w:val="6E8450"/>
          <w:sz w:val="18"/>
        </w:rPr>
        <w:t>1,800 Employees · https://vtex.com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VTEX launched its AI-native commerce operating system in April 2026, embedding agentic AI at the platform's core to automate operations, personalize experiences, and expand ad monetization [1][2]. The company serves 2,200 B2C/B2B customers across 3,100 online stores in 44 countries, with enterprise clients like Carrefour, Sony, and Whirlpool validating platform quality [1]. Co-CEO Mariano Gomide's challenge to MACH composability chaos shows thought leadership in enterprise commerce architecture. GMV grew 12.1% in USD (12.9% FX-neutral) in 2025, indicating platform adoption momentum.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VTEX earned Glassdoor's top-10 best companies to work for ranking with a 4.56/5 score and exceptional 4.7/5 senior leadership rating, far above the platform average of 3.3 [2]. The dual-CEO model (Gomide and Thomaz) provides complementary leadership as co-founders with deep product vision. However, employee reviews note that rapid growth produced leaders 'according to need rather than leadership ability,' and the lack of structured HR means no formal career development plans [2]. The mission of democratizing enterprise commerce resonates with the team.</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SaaS metrics show improving profitability trajectory: 2026 guidance targets non-GAAP operating margin in low-twenties and FCF margin in low-twenties, representing significant margin expansion [1]. However, current profit margin of 8.3% and ROE of 8.2% remain modest, and the stock trades at 35.6x trailing PE despite single-digit subscription revenue growth (7.9% in 2025) [1]. D/E of 1.2% shows essentially zero leverage, which is conservative. Forward PE of 14.7 is reasonable for a profitable SaaS company, but growth deceleration from Latin American FX headwinds constrains the premium.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VTEX demonstrates strong infinite game characteristics through its co-founder leadership, platform-driven ecosystem approach, and bold AI pivot, though operational maturity gaps and growth deceleration challenge long-term execution.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Democratizing enterprise-grade commerce technology for businesses globally represents a genuine Just Cause — enabling digital transformation for brands that previously couldn't afford custom solutions [1]. The platform's expansion to 44 countries and emphasis on B2B complexity reduction shows commitment to inclusive digital commerce access beyond pure profit maximization.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Glassdoor's 4.56/5 overall and 4.7/5 senior leadership ratings indicate strong trust at the top [2]. However, the absence of structured HR, lack of career plans, and technically excellent but people-management-immature mid-level leaders reveal growing pains in scaling culture [2]. The co-CEO model provides stability but could create decision-making ambiguity.</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VTEX positions itself against Shopify, Salesforce Commerce Cloud, and Adobe Commerce, using its composable yet integrated approach to challenge both monolithic and fragmented alternatives [1][2]. The co-CEO's public criticism of MACH composability chaos shows willingness to define the competitive narrative rather than merely react to rivals.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to an AI-native commerce operating system in 2026 demonstrates significant existential flexibility — transforming from a traditional commerce platform to an AI-first offering with agentic capabilities [2]. Expansion into retail media, B2B orchestration, and MENA markets shows willingness to reinvent growth vectors beyond the Latin American core.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Co-CEO Gomide has shown intellectual courage in challenging industry orthodoxy around MACH architecture and positioning AI as a fundamental platform layer rather than a feature add-on [2]. However, the company's modest financial scale ($668M market cap) and dependence on LatAm markets limit the resources available for truly courageous market-making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VTEX is a well-positioned digital commerce platform making an aggressive pivot to AI-native architecture, with an Inspire score of 47 (ALIGNED) reflecting strong ethical practices across 10 positive categories. The forward PE of 14.7x is compelling for a profitable SaaS company targeting low-twenties operating margins, and the AI commerce suite launched April 2026 could accelerate growth.</w:t>
      </w:r>
    </w:p>
    <w:p>
      <w:pPr>
        <w:spacing w:after="120"/>
      </w:pPr>
      <w:r>
        <w:rPr>
          <w:rFonts w:ascii="Calibri" w:hAnsi="Calibri"/>
          <w:b w:val="0"/>
          <w:color w:val="3A4A28"/>
          <w:sz w:val="20"/>
        </w:rPr>
        <w:t>However, growth has decelerated materially (subscription revenue +7.9% in FY2025 vs. higher historical rates), the $668M market cap creates small-cap volatility risk, and heavy LatAm exposure introduces persistent FX headwinds. The trailing PE of 35.6x looks expensive relative to current growth, though the forward PE suggests earnings expansion is priced in. The stock needs to demonstrate that AI-native capabilities translate to reaccelerated customer acquisition and GMV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AI-native commerce operating system launched April 2026 with agentic AI, retail media, and B2B orchestration could reaccelerate platform adoption</w:t>
      </w:r>
    </w:p>
    <w:p>
      <w:pPr>
        <w:spacing w:before="40" w:after="40"/>
        <w:ind w:left="283"/>
      </w:pPr>
      <w:r>
        <w:rPr>
          <w:rFonts w:ascii="Calibri" w:hAnsi="Calibri"/>
          <w:b/>
          <w:color w:val="4A6B25"/>
          <w:sz w:val="20"/>
        </w:rPr>
        <w:t xml:space="preserve">2. </w:t>
      </w:r>
      <w:r>
        <w:rPr>
          <w:rFonts w:ascii="Calibri" w:hAnsi="Calibri"/>
          <w:b w:val="0"/>
          <w:color w:val="3A4A28"/>
          <w:sz w:val="20"/>
        </w:rPr>
        <w:t>Non-GAAP operating margin targeting low-twenties represents significant expansion from current levels, driving earnings growth</w:t>
      </w:r>
    </w:p>
    <w:p>
      <w:pPr>
        <w:spacing w:before="40" w:after="40"/>
        <w:ind w:left="283"/>
      </w:pPr>
      <w:r>
        <w:rPr>
          <w:rFonts w:ascii="Calibri" w:hAnsi="Calibri"/>
          <w:b/>
          <w:color w:val="4A6B25"/>
          <w:sz w:val="20"/>
        </w:rPr>
        <w:t xml:space="preserve">3. </w:t>
      </w:r>
      <w:r>
        <w:rPr>
          <w:rFonts w:ascii="Calibri" w:hAnsi="Calibri"/>
          <w:b w:val="0"/>
          <w:color w:val="3A4A28"/>
          <w:sz w:val="20"/>
        </w:rPr>
        <w:t>Global expansion into MENA and enterprise B2B segment diversifies beyond LatAm FX-sensitive 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Subscription revenue growth decelerated to 7.9% in FY2025 — failure to reaccelerate with AI capabilities could compress valuation multiples</w:t>
      </w:r>
    </w:p>
    <w:p>
      <w:pPr>
        <w:spacing w:before="40" w:after="40"/>
        <w:ind w:left="283"/>
      </w:pPr>
      <w:r>
        <w:rPr>
          <w:rFonts w:ascii="Calibri" w:hAnsi="Calibri"/>
          <w:b/>
          <w:color w:val="4A6B25"/>
          <w:sz w:val="20"/>
        </w:rPr>
        <w:t xml:space="preserve">2. </w:t>
      </w:r>
      <w:r>
        <w:rPr>
          <w:rFonts w:ascii="Calibri" w:hAnsi="Calibri"/>
          <w:b w:val="0"/>
          <w:color w:val="3A4A28"/>
          <w:sz w:val="20"/>
        </w:rPr>
        <w:t>Small market cap ($668M) and thin trading creates volatility risk; Brazil/LatAm FX exposure adds 4.5pp uncertainty to reported growth</w:t>
      </w:r>
    </w:p>
    <w:p>
      <w:pPr>
        <w:spacing w:before="40" w:after="40"/>
        <w:ind w:left="283"/>
      </w:pPr>
      <w:r>
        <w:rPr>
          <w:rFonts w:ascii="Calibri" w:hAnsi="Calibri"/>
          <w:b/>
          <w:color w:val="4A6B25"/>
          <w:sz w:val="20"/>
        </w:rPr>
        <w:t xml:space="preserve">3. </w:t>
      </w:r>
      <w:r>
        <w:rPr>
          <w:rFonts w:ascii="Calibri" w:hAnsi="Calibri"/>
          <w:b w:val="0"/>
          <w:color w:val="3A4A28"/>
          <w:sz w:val="20"/>
        </w:rPr>
        <w:t>Competition from Shopify, Salesforce Commerce Cloud, and hyperscaler AI commerce offerings could limit enterprise share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a primary growth enabler for VTEX — the April 2026 launch of its AI-native commerce suite positions the company as a first-mover in embedding agentic AI into enterprise commerce operations [2]. The platform leverages AI for automated catalog management, personalized shopping experiences, retail media optimization, and operational workflow automation. Rather than being disrupted by AI, VTEX is actively weaponizing it as a competitive moat against legacy commerce platforms. The only risk is that hyperscalers (Google, AWS) could embed similar AI commerce capabilities into their cloud offerings.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VTEX Q4 2025 and FY2025 Earnings Release — Subscription revenue +7.9%, GMV +12.1%, FY2026 margin guidance low-twenties, February 2026</w:t>
      </w:r>
    </w:p>
    <w:p>
      <w:pPr>
        <w:spacing w:before="20" w:after="20"/>
        <w:ind w:left="170"/>
      </w:pPr>
      <w:r>
        <w:rPr>
          <w:rFonts w:ascii="Calibri" w:hAnsi="Calibri"/>
          <w:b/>
          <w:color w:val="4A6B25"/>
          <w:sz w:val="15"/>
        </w:rPr>
        <w:t xml:space="preserve">2. </w:t>
      </w:r>
      <w:r>
        <w:rPr>
          <w:rFonts w:ascii="Calibri" w:hAnsi="Calibri"/>
          <w:b w:val="0"/>
          <w:color w:val="3A4A28"/>
          <w:sz w:val="17"/>
        </w:rPr>
        <w:t>VTEX AI-Native Commerce Suite Launch — Agentic AI, B2B orchestration, retail media; Glassdoor 4.56/5 rating, April 2026</w:t>
      </w:r>
    </w:p>
    <w:p>
      <w:pPr>
        <w:spacing w:before="20" w:after="20"/>
        <w:ind w:left="170"/>
      </w:pPr>
      <w:r>
        <w:rPr>
          <w:rFonts w:ascii="Calibri" w:hAnsi="Calibri"/>
          <w:b/>
          <w:color w:val="4A6B25"/>
          <w:sz w:val="15"/>
        </w:rPr>
        <w:t xml:space="preserve">3. </w:t>
      </w:r>
      <w:r>
        <w:rPr>
          <w:rFonts w:ascii="Calibri" w:hAnsi="Calibri"/>
          <w:b w:val="0"/>
          <w:color w:val="3A4A28"/>
          <w:sz w:val="17"/>
        </w:rPr>
        <w:t>VTEX Investor Relations — 2,200 customers, 44 countries, 3,100 stores; MENA expansion coverage,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