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VTRS</w:t>
      </w:r>
      <w:r>
        <w:rPr>
          <w:rFonts w:ascii="Calibri" w:hAnsi="Calibri"/>
          <w:b/>
          <w:color w:val="1A2010"/>
          <w:sz w:val="40"/>
        </w:rPr>
        <w:t xml:space="preserve">  Viatris Inc.</w:t>
      </w:r>
    </w:p>
    <w:p>
      <w:pPr>
        <w:spacing w:after="120"/>
      </w:pPr>
      <w:r>
        <w:rPr>
          <w:rFonts w:ascii="Calibri" w:hAnsi="Calibri"/>
          <w:b/>
          <w:color w:val="6E8450"/>
          <w:sz w:val="18"/>
        </w:rPr>
        <w:t>DIVIDEND SLEEVE · 2026-03-27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Viatris Inc. is a global healthcare company formed from the 2020 merger of Mylan and Pfizer's Upjohn division. The company produces and sells 1,400 approved therapeutic molecules including brands (Viagra, Xanax, Lipitor), generics, biosimilars, and OTC drugs across cardiovascular, CNS, infectious disease, and ophthalmology therapeutic areas.</w:t>
      </w:r>
    </w:p>
    <w:p>
      <w:r>
        <w:rPr>
          <w:rFonts w:ascii="Calibri" w:hAnsi="Calibri"/>
          <w:b/>
          <w:color w:val="6E8450"/>
          <w:sz w:val="18"/>
        </w:rPr>
        <w:t>30,000 Employees · https://www.viatris.com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Viatris is transitioning from a legacy generics/off-patent portfolio to a specialty-focused healthcare player, with $14.3B in 2025 revenue and anticipated 2026 launches including Effexor, Pitolisant, Spydia in Japan, and low-dose estrogen weekly patch in the U.S. [1]. The company's R&amp;D pipeline spans ophthalmology and complex injectables, but innovation intensity is modest relative to pure biotech peers. The 56% stock appreciation over 12 months and shift from 'Hold' to 'Moderate Buy' consensus reflect market recognition of the portfolio evolution under CEO Scott Smith.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Scott Smith (appointed April 2023) brings 35+ years of pharma experience including COO of Celgene, where he oversaw Otezla's development [2]. Viatris's name derives from Latin ('via' = path, 'tris' = three), referencing expanding medicine access, meeting patient needs through innovation, and earning healthcare trust [2]. LinkedIn recognized Viatris as one of the 25 best companies in India for career development. However, the company's legacy as a Mylan/Upjohn combination carries baggage from Mylan's EpiPen pricing controversy.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Viatris's financial profile shows tension between strong cash generation and GAAP losses: the company reported a full-year 2025 net loss of $3.5B despite $14.3B revenue, driven by impairments and restructuring charges [1]. The forward P/E of 5.0 and dividend yield of 3.59% are attractively valued. However, D/E of 99.9% reflects significant acquisition debt, and the 960% payout ratio on GAAP earnings (sustainable on adjusted cash flow) creates headline risk [4]. The $650M cost savings program (30% in 2026) should improve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Viatris demonstrates mixed infinite game thinking — the strategic pivot from legacy generics to specialty healthcare under CEO Smith shows long-term vision, but the company remains burdened by Mylan-era reputational legacy and the finite pressures of managing a complex post-merger integration with significant debt.</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Viatris's three-fold purpose — expanding medicine access, patient-centered innovation, and earning healthcare trust — connects to enduring healthcare needs globally [2]. The company serves patients in 165+ countries with essential medicines, and the 2026-2030 long-term plan targets 5-6% revenue CAGR while generating &gt;$11B in deployable cash, suggesting a balance between purpose and financial sustainability.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Smith's appointment of board member David Simmons (former Pfizer executive) and the Investor Day vision through 2030 suggest building a leadership team aligned on long-term direction [2]. The planned $650M cost savings over three years will involve workforce restructuring, testing organizational trust. 30,000 employees across 165+ countries require significant management capability.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Viatris competes against Teva, Sandoz, and Mylan's former rivals in generics, plus specialty pharma players in its new strategic focus areas. The company's pivot toward specialty (ophthalmology, complex injectables) shows learning from higher-margin rivals, though competitive messaging still emphasizes portfolio breadth rather than therapeutic excellence.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enterprise-wide strategic review and pivot from legacy generics to a 'higher-margin generics, value-added medicines, and established brands' portfolio represents genuine strategic reinvention [1]. The $650M cost savings program and planned launches in new therapeutic areas show willingness to transform the portfolio mix rather than defend the status quo.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Smith is making difficult portfolio decisions including asset divestitures and workforce restructuring to fund the specialty pivot [1]. However, the company has maintained a flat $0.48 dividend for six consecutive years during a period of significant GAAP losses, suggesting caution about shareholder communication rather than bold resource reallocation.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Viatris offers deep value at 5.0x forward P/E with a 3.6% dividend yield backed by $2.5B+ in 2026 deployable cash flow, while executing a strategic pivot that targets 5-6% revenue CAGR and 9-10% adjusted EPS CAGR through 2030 [1]. The company's 2025 results ($14.3B revenue, +2% YoY) exceeded expectations, and the $650M cost savings program should drive margin expansion. With 1,400 approved molecules, pipeline launches in ophthalmology and complex injectables, and a 76.8% total shareholder return over the past year, the transformation thesis is gaining credibility.</w:t>
      </w:r>
    </w:p>
    <w:p>
      <w:pPr>
        <w:spacing w:after="120"/>
      </w:pPr>
      <w:r>
        <w:rPr>
          <w:rFonts w:ascii="Calibri" w:hAnsi="Calibri"/>
          <w:b w:val="0"/>
          <w:color w:val="3A4A28"/>
          <w:sz w:val="20"/>
        </w:rPr>
        <w:t>The bear case includes the $3.5B GAAP net loss in 2025 driven by impairments that cast doubt on the acquired asset quality, D/E of 99.9% limiting financial flexibility, and a 960% GAAP payout ratio that is unsustainable on reported earnings [1][4]. Japan regulatory pricing challenges and North American LOE (loss of exclusivity) impacts will pressure near-term revenue and margins. The Mylan legacy carries reputational baggage (EpiPen pricing scandal), and the company's AI adoption is not publicly visible, creating risk of falling behind digitally-native pharma competitors. The dividend has been flat at $0.48 for six years, offering no growth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product launches including Effexor, Pitolisant, and Spydia in Japan, plus low-dose estrogen weekly patch and meloxicam in the U.S., targeting incremental revenue growth [1]</w:t>
      </w:r>
    </w:p>
    <w:p>
      <w:pPr>
        <w:spacing w:before="40" w:after="40"/>
        <w:ind w:left="283"/>
      </w:pPr>
      <w:r>
        <w:rPr>
          <w:rFonts w:ascii="Calibri" w:hAnsi="Calibri"/>
          <w:b/>
          <w:color w:val="4A6B25"/>
          <w:sz w:val="20"/>
        </w:rPr>
        <w:t xml:space="preserve">2. </w:t>
      </w:r>
      <w:r>
        <w:rPr>
          <w:rFonts w:ascii="Calibri" w:hAnsi="Calibri"/>
          <w:b w:val="0"/>
          <w:color w:val="3A4A28"/>
          <w:sz w:val="20"/>
        </w:rPr>
        <w:t>$650M gross cost savings program with 30% realized in 2026, driving margin expansion toward the 2030 EBITDA targets [1]</w:t>
      </w:r>
    </w:p>
    <w:p>
      <w:pPr>
        <w:spacing w:before="40" w:after="40"/>
        <w:ind w:left="283"/>
      </w:pPr>
      <w:r>
        <w:rPr>
          <w:rFonts w:ascii="Calibri" w:hAnsi="Calibri"/>
          <w:b/>
          <w:color w:val="4A6B25"/>
          <w:sz w:val="20"/>
        </w:rPr>
        <w:t xml:space="preserve">3. </w:t>
      </w:r>
      <w:r>
        <w:rPr>
          <w:rFonts w:ascii="Calibri" w:hAnsi="Calibri"/>
          <w:b w:val="0"/>
          <w:color w:val="3A4A28"/>
          <w:sz w:val="20"/>
        </w:rPr>
        <w:t>Over $11B in cumulative cash available for deployment by 2030, supporting potential bolt-on acquisitions in specialty therapeutic areas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losses driven by asset impairments could signal overpayment for Mylan/Upjohn assets, and further write-downs would erode book value and dividend sustainability [1]</w:t>
      </w:r>
    </w:p>
    <w:p>
      <w:pPr>
        <w:spacing w:before="40" w:after="40"/>
        <w:ind w:left="283"/>
      </w:pPr>
      <w:r>
        <w:rPr>
          <w:rFonts w:ascii="Calibri" w:hAnsi="Calibri"/>
          <w:b/>
          <w:color w:val="4A6B25"/>
          <w:sz w:val="20"/>
        </w:rPr>
        <w:t xml:space="preserve">2. </w:t>
      </w:r>
      <w:r>
        <w:rPr>
          <w:rFonts w:ascii="Calibri" w:hAnsi="Calibri"/>
          <w:b w:val="0"/>
          <w:color w:val="3A4A28"/>
          <w:sz w:val="20"/>
        </w:rPr>
        <w:t>D/E of 99.9% creates interest rate sensitivity and limits strategic flexibility for acquisitions during the specialty pivot [4]</w:t>
      </w:r>
    </w:p>
    <w:p>
      <w:pPr>
        <w:spacing w:before="40" w:after="40"/>
        <w:ind w:left="283"/>
      </w:pPr>
      <w:r>
        <w:rPr>
          <w:rFonts w:ascii="Calibri" w:hAnsi="Calibri"/>
          <w:b/>
          <w:color w:val="4A6B25"/>
          <w:sz w:val="20"/>
        </w:rPr>
        <w:t xml:space="preserve">3. </w:t>
      </w:r>
      <w:r>
        <w:rPr>
          <w:rFonts w:ascii="Calibri" w:hAnsi="Calibri"/>
          <w:b w:val="0"/>
          <w:color w:val="3A4A28"/>
          <w:sz w:val="20"/>
        </w:rPr>
        <w:t>Generic drug pricing pressure from regulatory and competitive forces could erode the base business faster than specialty launches can offset, compressing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Pharmaceutical manufacturing, regulatory compliance, and global distribution networks require physical infrastructure and deep domain expertise that AI cannot displace [2]. Viatris's 1,400 approved therapeutic molecules across complex formulations represent decades of accumulated regulatory approvals — a durable moat. AI could enhance drug development screening and manufacturing optimization, but Viatris has not publicly disclosed significant AI adoption initiatives. The generic pharmaceutical model's low-margin, high-volume nature limits AI's ability to compress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Viatris Q4 2025 Earnings Release and 2026-2030 Investor Day Vision, March 2026</w:t>
      </w:r>
    </w:p>
    <w:p>
      <w:pPr>
        <w:spacing w:before="20" w:after="20"/>
        <w:ind w:left="170"/>
      </w:pPr>
      <w:r>
        <w:rPr>
          <w:rFonts w:ascii="Calibri" w:hAnsi="Calibri"/>
          <w:b/>
          <w:color w:val="4A6B25"/>
          <w:sz w:val="15"/>
        </w:rPr>
        <w:t xml:space="preserve">2. </w:t>
      </w:r>
      <w:r>
        <w:rPr>
          <w:rFonts w:ascii="Calibri" w:hAnsi="Calibri"/>
          <w:b w:val="0"/>
          <w:color w:val="3A4A28"/>
          <w:sz w:val="17"/>
        </w:rPr>
        <w:t>Viatris CEO Scott Smith profile and leadership team,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Viatris ESG and sustainability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VTRS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