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VVR</w:t>
      </w:r>
      <w:r>
        <w:rPr>
          <w:rFonts w:ascii="Calibri" w:hAnsi="Calibri"/>
          <w:b/>
          <w:color w:val="1A2010"/>
          <w:sz w:val="40"/>
        </w:rPr>
        <w:t xml:space="preserve">  Invesco Senior Income Trust</w:t>
      </w:r>
    </w:p>
    <w:p>
      <w:pPr>
        <w:spacing w:after="120"/>
      </w:pPr>
      <w:r>
        <w:rPr>
          <w:rFonts w:ascii="Calibri" w:hAnsi="Calibri"/>
          <w:b/>
          <w:color w:val="6E8450"/>
          <w:sz w:val="18"/>
        </w:rPr>
        <w:t>DIVIDEND SLEEVE · 2026-05-03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Invesco Senior Income Trust is a closed-end fixed income fund launched by Invesco Ltd. that invests primarily in floating or variable rate senior loans to corporations across a variety of industries. The fund employs leverage and benchmarks against the Credit Suisse Leveraged Loan Index.</w:t>
      </w:r>
    </w:p>
    <w:p>
      <w:r>
        <w:rPr>
          <w:rFonts w:ascii="Calibri" w:hAnsi="Calibri"/>
          <w:b/>
          <w:color w:val="6E8450"/>
          <w:sz w:val="18"/>
        </w:rPr>
        <w:t>https://www.invesco.com/us/financial-products/closed-end/product-detail?audienceType=Investor&amp;fundId=30607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VVR is a passive closed-end fund with no product launches, pivots, or business model transformations — it has operated the same senior loan strategy since 1998 [1]. Revenue (total investment income) declined 40% from $73.4M in FY2024 to $43.9M in FY2025 as falling Fed funds rates compressed floating-rate loan yields [1]. AI Deployment (0/2): No AI capabilities — the fund is managed by Invesco's senior secured management team using traditional credit analysis [2]. Market Share (0/2): VVR is one of many leveraged loan CEFs with no meaningful share differentiation; it competes against dozens of similar Invesco, BlackRock, and Nuveen products [2]. Pipeline (0/2): No product pipeline — a closed-end fund does not launch new products. R&amp;D Intensity (1/1): Invesco as the parent firm invests in technology and analytics platforms, giving VVR access to institutional-grade credit research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VVR has no mission, purpose, or vision statement — it exists to provide current income to shareholders through leveraged loan investing [2]. There is no articulated purpose beyond financial returns. Community &amp; Charitable Impact (0/2): As a closed-end fund, VVR has no community programs, employees, or charitable initiatives [2]. Employee Retention (0/2): Not applicable — VVR has no employees; it is externally managed by Invesco Advisers [2]. Insider Buying (1/2): Invesco portfolio managers have modest co-investment in the fund, though no significant insider buying was evident in recent filings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VVR's infrastructure is mechanically calculated at 4/10. D/E of 55.5% scores perfectly (1.0) against the 70% target [3]. Profit margin of 35.7% also scores 1.0 against the 20% target. Consecutive years paid at 25 scores 1.0 (2x weight) [1]. However, ROE of 5.4% scores only 0.36, revenue growth of -17.5% YoY scores just 0.08 near the -20% floor, and dividend metrics are terrible: payout ratio of 214% scores 0.0 (above the 100% floor), consecutive years growth at 0 scores 0.0, and 5yr dividend growth CAGR of -2.0% scores 0.0 [1]. The fund trades at a 9.1% discount to NAV after the March 2025 distribution plan termination caused a 12.3% price crash [2]. Liquidity floor check: 851,185 avg vol × $3.11 = $2.65M — passes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VVR is a closed-end fund with no Just Cause, no leadership continuity to evaluate, and no strategic flexibility. It exists to generate current income through leveraged loan investing — a purely financial objective with no vision of a better future. The fund's managed distribution plan termination in March 2025 and subsequent NAV erosion demonstrate finite game behavior: prioritizing short-term distribution payments over long-term NAV preservation.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 pts). VVR exists to provide high current income through leveraged loan investing — there is no vision beyond financial returns [2]. The fund has no stated purpose, no mission statement, and no articulated reason for existing beyond generating yield. The March 2025 managed distribution plan termination revealed the fund was paying distributions in excess of earnings to maintain an artificially high yield — a finite game tactic that eroded NAV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Not evaluable (0 pts). VVR is externally managed by Invesco Advisers with no employees, no organizational culture, and no team dynamics to assess [2]. The management structure is opaque — investors have limited visibility into the team managing their capital.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pts). VVR does not acknowledge or learn from rival leveraged loan CEFs. The fund's competitive positioning is purely yield-based — it competed on distribution rate rather than portfolio quality or risk management, as evidenced by the unsustainable 214% payout ratio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 pts). VVR's mandate is fixed by its prospectus — it must invest in senior secured floating-rate loans. The fund cannot pivot to different asset classes, strategies, or business models even when the rate environment turns unfavorable [2]. The 40% revenue decline from falling rates demonstrates this inflexibility.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(1 pt). The March 2025 decision to terminate the managed distribution plan, while painful (causing a 12.3% price drop), was the responsible long-term choice to stop NAV erosion from unsustainable distributions [2]. This showed willingness to accept short-term pain for long-term fund health, even though it triggered significant shareholder backlash.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VVR is a leveraged senior loan CEF offering a 14.4% yield at a 9.1% discount to NAV, appealing to income-seeking investors in an uncertain rate environment [1][2]. The fund holds a diversified portfolio of floating-rate corporate loans that benefit from higher rates and carry senior secured claim priority, providing some downside protection. D/E of 55.5% is moderate leverage for a CEF, and Invesco's institutional credit research platform supports portfolio management quality [2].</w:t>
      </w:r>
    </w:p>
    <w:p>
      <w:pPr>
        <w:spacing w:after="120"/>
      </w:pPr>
      <w:r>
        <w:rPr>
          <w:rFonts w:ascii="Calibri" w:hAnsi="Calibri"/>
          <w:b w:val="0"/>
          <w:color w:val="3A4A28"/>
          <w:sz w:val="20"/>
        </w:rPr>
        <w:t>The bear case is severe. Revenue plunged 40% YoY as falling Fed funds rates compressed floating-rate income, and the 214% payout ratio means the fund is liquidating capital to pay distributions [1]. The March 2025 managed distribution plan termination caused a 12.3% price collapse and flipped the fund from a 7% premium to a 6%+ discount to NAV [2]. NAV erosion is accelerating, and further distribution cuts are likely if rates continue declining. The fund has no growth engine, no competitive differentiation, and no strategic flexibility — it is a passive vehicle entirely dependent on the interest rate cycle. At $3.11 per share with declining income, VVR is a yield trap for investors chasing the headline distribution rate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 rate increases or rate stabilization would boost floating-rate loan income and potentially reverse the revenue decline trend [1]</w:t>
      </w:r>
    </w:p>
    <w:p>
      <w:pPr>
        <w:spacing w:before="40" w:after="40"/>
        <w:ind w:left="283"/>
      </w:pPr>
      <w:r>
        <w:rPr>
          <w:rFonts w:ascii="Calibri" w:hAnsi="Calibri"/>
          <w:b/>
          <w:color w:val="4A6B25"/>
          <w:sz w:val="20"/>
        </w:rPr>
        <w:t xml:space="preserve">2. </w:t>
      </w:r>
      <w:r>
        <w:rPr>
          <w:rFonts w:ascii="Calibri" w:hAnsi="Calibri"/>
          <w:b w:val="0"/>
          <w:color w:val="3A4A28"/>
          <w:sz w:val="20"/>
        </w:rPr>
        <w:t>NAV discount narrowing if the market reprices the fund closer to net asset value following distribution stabilization [2]</w:t>
      </w:r>
    </w:p>
    <w:p>
      <w:pPr>
        <w:spacing w:before="40" w:after="40"/>
        <w:ind w:left="283"/>
      </w:pPr>
      <w:r>
        <w:rPr>
          <w:rFonts w:ascii="Calibri" w:hAnsi="Calibri"/>
          <w:b/>
          <w:color w:val="4A6B25"/>
          <w:sz w:val="20"/>
        </w:rPr>
        <w:t xml:space="preserve">3. </w:t>
      </w:r>
      <w:r>
        <w:rPr>
          <w:rFonts w:ascii="Calibri" w:hAnsi="Calibri"/>
          <w:b w:val="0"/>
          <w:color w:val="3A4A28"/>
          <w:sz w:val="20"/>
        </w:rPr>
        <w:t>Credit quality improvement in the leveraged loan market could reduce default risk and support NAV preservation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Fed rate cuts would further compress floating-rate loan yields, accelerating income decline and requiring additional distribution reductions [1]</w:t>
      </w:r>
    </w:p>
    <w:p>
      <w:pPr>
        <w:spacing w:before="40" w:after="40"/>
        <w:ind w:left="283"/>
      </w:pPr>
      <w:r>
        <w:rPr>
          <w:rFonts w:ascii="Calibri" w:hAnsi="Calibri"/>
          <w:b/>
          <w:color w:val="4A6B25"/>
          <w:sz w:val="20"/>
        </w:rPr>
        <w:t xml:space="preserve">2. </w:t>
      </w:r>
      <w:r>
        <w:rPr>
          <w:rFonts w:ascii="Calibri" w:hAnsi="Calibri"/>
          <w:b w:val="0"/>
          <w:color w:val="3A4A28"/>
          <w:sz w:val="20"/>
        </w:rPr>
        <w:t>NAV erosion from 214% payout ratio — the fund is systematically liquidating capital to maintain distributions, destroying long-term shareholder value [1][2]</w:t>
      </w:r>
    </w:p>
    <w:p>
      <w:pPr>
        <w:spacing w:before="40" w:after="40"/>
        <w:ind w:left="283"/>
      </w:pPr>
      <w:r>
        <w:rPr>
          <w:rFonts w:ascii="Calibri" w:hAnsi="Calibri"/>
          <w:b/>
          <w:color w:val="4A6B25"/>
          <w:sz w:val="20"/>
        </w:rPr>
        <w:t xml:space="preserve">3. </w:t>
      </w:r>
      <w:r>
        <w:rPr>
          <w:rFonts w:ascii="Calibri" w:hAnsi="Calibri"/>
          <w:b w:val="0"/>
          <w:color w:val="3A4A28"/>
          <w:sz w:val="20"/>
        </w:rPr>
        <w:t>Leveraged loan default cycle — a recession would increase defaults in the below-investment-grade corporate loans that comprise the portfolio, causing permanent NAV impairment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VVR's core business — holding a portfolio of senior secured floating-rate corporate loans — involves physical credit instruments with legal claim priority that AI cannot replicate or displace [2]. The leveraged loan market requires human-intensive credit analysis, legal documentation review, and relationship-based deal sourcing that provides moderate protection. However, AI-driven credit underwriting tools from firms like Upstart and C3.ai could eventually commoditize parts of the credit analysis process, and AI-powered fixed-income platforms may increase competition in loan syndication [2]. AI Opportunity (0/1): VVR generates no AI-related revenue — it is a passive holder of corporate loans with no technology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VVR (Invesco Senior Income Trust), retrieved May 3, 2026</w:t>
      </w:r>
    </w:p>
    <w:p>
      <w:pPr>
        <w:spacing w:before="20" w:after="20"/>
        <w:ind w:left="170"/>
      </w:pPr>
      <w:r>
        <w:rPr>
          <w:rFonts w:ascii="Calibri" w:hAnsi="Calibri"/>
          <w:b/>
          <w:color w:val="4A6B25"/>
          <w:sz w:val="15"/>
        </w:rPr>
        <w:t xml:space="preserve">2. </w:t>
      </w:r>
      <w:r>
        <w:rPr>
          <w:rFonts w:ascii="Calibri" w:hAnsi="Calibri"/>
          <w:b w:val="0"/>
          <w:color w:val="3A4A28"/>
          <w:sz w:val="17"/>
        </w:rPr>
        <w:t>Invesco Senior Income Trust product page, CEF Connect fund summary, and Seeking Alpha downgrade analysis,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Invesco Senior Income Trust SEC filings and financial statements, FY2025 annual report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