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VZLA</w:t>
      </w:r>
      <w:r>
        <w:rPr>
          <w:rFonts w:ascii="Calibri" w:hAnsi="Calibri"/>
          <w:b/>
          <w:color w:val="1A2010"/>
          <w:sz w:val="40"/>
        </w:rPr>
        <w:t xml:space="preserve">  Vizsla Silver Corp.</w:t>
      </w:r>
    </w:p>
    <w:p>
      <w:pPr>
        <w:spacing w:after="120"/>
      </w:pPr>
      <w:r>
        <w:rPr>
          <w:rFonts w:ascii="Calibri" w:hAnsi="Calibri"/>
          <w:b/>
          <w:color w:val="6E8450"/>
          <w:sz w:val="18"/>
        </w:rPr>
        <w:t>GROWTH SLEEVE · 2026-03-27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Canada</w:t>
      </w:r>
    </w:p>
    <w:p>
      <w:pPr>
        <w:spacing w:after="80"/>
      </w:pPr>
      <w:r>
        <w:rPr>
          <w:rFonts w:ascii="Calibri" w:hAnsi="Calibri"/>
          <w:b w:val="0"/>
          <w:color w:val="3A4A28"/>
          <w:sz w:val="20"/>
        </w:rPr>
        <w:t>Vizsla Silver Corp. is a mineral exploration and development company focused on its 100%-owned Panuco silver-gold project in Sinaloa, Mexico. The company completed a Feasibility Study in 2025 showing an NPV of $1.8 billion and is targeting first production in H2 2027.</w:t>
      </w:r>
    </w:p>
    <w:p>
      <w:r>
        <w:rPr>
          <w:rFonts w:ascii="Calibri" w:hAnsi="Calibri"/>
          <w:b/>
          <w:color w:val="6E8450"/>
          <w:sz w:val="18"/>
        </w:rPr>
        <w:t>79 Employees · https://vizslasilvercorp.com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Vizsla's Panuco Feasibility Study (November 2025) demonstrated strong project economics with an after-tax NPV(5%) of US$1.8B and IRR of 111%, projecting 17.4 Moz AgEq/yr over a 9.4-year mine life [1]. The company deploys LiDAR, high-resolution aero-magnetic surveys, and multispectral satellite imagery for target generation, showing technology-forward exploration [2]. A new discovery at Animas (897 g/t AgEq over 5.85m) adds high-grade upside, and the 60,000m 2026 drill program across a 14,600-hectare land package demonstrates aggressive pipeline advancement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Vizsla aspires to become the world's leading 'Green Silver' producer, a specific and differentiated mission for a junior miner [3]. The company invested over US$600K in local community initiatives over three years, with ~70% of on-site workforce hired locally, and earned Mexico's ESR (Socially Responsible Company) distinction for four consecutive years [3]. However, management tenure averaging 3.3 years is relatively short, and insider buying data is limited for this pre-revenue company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pre-revenue exploration company, Vizsla generates zero revenue with negative ROE of -38.8% and zero profit margin [4]. The company holds over US$450M in cash (nearly double the US$230M construction capex), providing exceptional financial flexibility, but D/E of 66.1% reflects the $300M convertible note issuance [1]. Forward P/E is unavailable as the company has no earnings. The stock's 220% price appreciation in 2025 reflects speculative rather than fundamental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Vizsla demonstrates some infinite game characteristics through its regenerative mining vision and community engagement, but as a pre-revenue junior miner, its survival depends heavily on securing permits, completing construction, and reaching first production — inherently finite milestones that dominate strategic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Vizsla's stated ambition to become the world's leading 'Green Silver' producer goes beyond pure extraction and connects to clean energy transition (silver in solar panels) and environmental stewardship [3]. The regenerative mining framework — aiming for net positive environmental impact — is aspirational but provides a north-star purpose that transcends quarterly metrics.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Michael Konnert has built a seasoned team including COO Simon Cmrlec (30+ years mine development) and VP Exploration Dr. Jesus Velador (20+ years epithermal expertise), suggesting trust in domain experts [2]. Local workforce hiring at 70% demonstrates community trust, though the 79-employee count limits organizational complexity assessment.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Vizsla operates in a competitive silver development space alongside First Majestic, MAG Silver, and others. The Fresnillo claims acquisition for US$6M shows willingness to collaborate with a major rival rather than purely compete [1]. However, competitive positioning is primarily framed around being the 'leading Green Silver producer' rather than learning from peers.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Santa Fe acquisition and expanded land package show willingness to grow beyond the original Panuco core, and the company has pivoted from pure exploration to development-stage with a feasibility study [1]. The 50 Moz AgEq ten-year production target combining multiple projects demonstrates strategic ambition beyond a single asset.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Vizsla's $300M convertible note issuance and $450M cash position reflect bold capital allocation for a junior miner [1]. However, the company has yet to make a formal construction decision, and the path to production remains subject to regulatory and permit approvals in Mexico, where political risks have increased.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Vizsla Silver offers compelling exposure to silver's structural supply deficit (projected 67 Moz shortfall in 2026) through one of the highest-grade undeveloped silver deposits globally, with a Feasibility Study NPV of US$1.8B at $35.50/oz silver — well below current spot prices near $81/oz per J.P. Morgan's 2026 forecast [1]. The company enters 2026 with US$450M cash (nearly double the US$230M initial capex), a 60,000m drill program to extend resources, and a clear path to first production in H2 2027 with a 7-month payback period at feasibility assumptions.</w:t>
      </w:r>
    </w:p>
    <w:p>
      <w:pPr>
        <w:spacing w:after="120"/>
      </w:pPr>
      <w:r>
        <w:rPr>
          <w:rFonts w:ascii="Calibri" w:hAnsi="Calibri"/>
          <w:b w:val="0"/>
          <w:color w:val="3A4A28"/>
          <w:sz w:val="20"/>
        </w:rPr>
        <w:t>The bear case centers on execution risk: Vizsla has never built or operated a mine, construction decisions depend on permits in Mexico (political and security risks in Sinaloa), and the feasibility economics assume commodity prices far below current spot. CIBC's March 2026 downgrade from 'Outperform' to 'Neutral' signals the stock may have fully priced the exploration story. With zero revenue, negative EPS, and a $1B+ market cap, Vizsla is a pure optionality play where a single regulatory setback or commodity downturn could significantly impair the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decision expected H2 2026 pending permit approvals, which would de-risk the path to first production in H2 2027 [1]</w:t>
      </w:r>
    </w:p>
    <w:p>
      <w:pPr>
        <w:spacing w:before="40" w:after="40"/>
        <w:ind w:left="283"/>
      </w:pPr>
      <w:r>
        <w:rPr>
          <w:rFonts w:ascii="Calibri" w:hAnsi="Calibri"/>
          <w:b/>
          <w:color w:val="4A6B25"/>
          <w:sz w:val="20"/>
        </w:rPr>
        <w:t xml:space="preserve">2. </w:t>
      </w:r>
      <w:r>
        <w:rPr>
          <w:rFonts w:ascii="Calibri" w:hAnsi="Calibri"/>
          <w:b w:val="0"/>
          <w:color w:val="3A4A28"/>
          <w:sz w:val="20"/>
        </w:rPr>
        <w:t>60,000m 2026 drill program targeting resource expansion at Animas, Santa Fe, and Panuco West could materially increase the mine life beyond 9.4 years [1]</w:t>
      </w:r>
    </w:p>
    <w:p>
      <w:pPr>
        <w:spacing w:before="40" w:after="40"/>
        <w:ind w:left="283"/>
      </w:pPr>
      <w:r>
        <w:rPr>
          <w:rFonts w:ascii="Calibri" w:hAnsi="Calibri"/>
          <w:b/>
          <w:color w:val="4A6B25"/>
          <w:sz w:val="20"/>
        </w:rPr>
        <w:t xml:space="preserve">3. </w:t>
      </w:r>
      <w:r>
        <w:rPr>
          <w:rFonts w:ascii="Calibri" w:hAnsi="Calibri"/>
          <w:b w:val="0"/>
          <w:color w:val="3A4A28"/>
          <w:sz w:val="20"/>
        </w:rPr>
        <w:t>Silver market heading for sixth consecutive structural deficit (67 Moz projected 2026), with J.P. Morgan forecasting $81/oz average — more than double the feasibility base case of $35.50/oz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Permitting and regulatory risk in Sinaloa, Mexico, where political instability and mining regulatory changes could delay or block construction decisions [1]</w:t>
      </w:r>
    </w:p>
    <w:p>
      <w:pPr>
        <w:spacing w:before="40" w:after="40"/>
        <w:ind w:left="283"/>
      </w:pPr>
      <w:r>
        <w:rPr>
          <w:rFonts w:ascii="Calibri" w:hAnsi="Calibri"/>
          <w:b/>
          <w:color w:val="4A6B25"/>
          <w:sz w:val="20"/>
        </w:rPr>
        <w:t xml:space="preserve">2. </w:t>
      </w:r>
      <w:r>
        <w:rPr>
          <w:rFonts w:ascii="Calibri" w:hAnsi="Calibri"/>
          <w:b w:val="0"/>
          <w:color w:val="3A4A28"/>
          <w:sz w:val="20"/>
        </w:rPr>
        <w:t>Pre-revenue company with $300M in convertible debt at $10.54 conversion price — significant dilution risk if share price remains below conversion threshold [1]</w:t>
      </w:r>
    </w:p>
    <w:p>
      <w:pPr>
        <w:spacing w:before="40" w:after="40"/>
        <w:ind w:left="283"/>
      </w:pPr>
      <w:r>
        <w:rPr>
          <w:rFonts w:ascii="Calibri" w:hAnsi="Calibri"/>
          <w:b/>
          <w:color w:val="4A6B25"/>
          <w:sz w:val="20"/>
        </w:rPr>
        <w:t xml:space="preserve">3. </w:t>
      </w:r>
      <w:r>
        <w:rPr>
          <w:rFonts w:ascii="Calibri" w:hAnsi="Calibri"/>
          <w:b w:val="0"/>
          <w:color w:val="3A4A28"/>
          <w:sz w:val="20"/>
        </w:rPr>
        <w:t>First-time mine builder risk: management has exploration expertise but has never taken a project through construction and commissioning, creating execution uncertainty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Mining operations require physical extraction, processing, and site management that AI cannot displace, placing Vizsla in a structurally protected industry [2]. AI-driven exploration tools like machine-learning geological modeling could enhance target generation across its 14,600-hectare land package, creating an opportunity rather than threat. The company already uses advanced geophysical technologies (LiDAR, aero-magnetics) that represent the early-adoption end of the AI spectrum for junior miners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Vizsla Silver 2025 Year-End Summary and 2026 Outlook Press Release, March 2026</w:t>
      </w:r>
    </w:p>
    <w:p>
      <w:pPr>
        <w:spacing w:before="20" w:after="20"/>
        <w:ind w:left="170"/>
      </w:pPr>
      <w:r>
        <w:rPr>
          <w:rFonts w:ascii="Calibri" w:hAnsi="Calibri"/>
          <w:b/>
          <w:color w:val="4A6B25"/>
          <w:sz w:val="15"/>
        </w:rPr>
        <w:t xml:space="preserve">2. </w:t>
      </w:r>
      <w:r>
        <w:rPr>
          <w:rFonts w:ascii="Calibri" w:hAnsi="Calibri"/>
          <w:b w:val="0"/>
          <w:color w:val="3A4A28"/>
          <w:sz w:val="17"/>
        </w:rPr>
        <w:t>Vizsla Silver Corp. Management &amp; Board profiles,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Vizsla Silver Third Annual Sustainability Report,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VZLA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