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WAL</w:t>
      </w:r>
      <w:r>
        <w:rPr>
          <w:rFonts w:ascii="Calibri" w:hAnsi="Calibri"/>
          <w:b/>
          <w:color w:val="1A2010"/>
          <w:sz w:val="40"/>
        </w:rPr>
        <w:t xml:space="preserve">  Western Alliance Bancorporation</w:t>
      </w:r>
    </w:p>
    <w:p>
      <w:pPr>
        <w:spacing w:after="120"/>
      </w:pPr>
      <w:r>
        <w:rPr>
          <w:rFonts w:ascii="Calibri" w:hAnsi="Calibri"/>
          <w:b/>
          <w:color w:val="6E8450"/>
          <w:sz w:val="18"/>
        </w:rPr>
        <w:t>DIVIDEND SLEEVE · 2026-04-28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Western Alliance Bancorporation operates as the bank holding company for Western Alliance Bank, providing commercial banking products and related services primarily in Arizona, California, and Nevada. Operating through Commercial and Consumer Related segments, the company offers deposit products, commercial and industrial loans, commercial real estate loans, construction and land development loans, residential real estate loans, and consumer loans to locally owned businesses, professional firms, real estate developers, and high net worth individuals.</w:t>
      </w:r>
    </w:p>
    <w:p>
      <w:r>
        <w:rPr>
          <w:rFonts w:ascii="Calibri" w:hAnsi="Calibri"/>
          <w:b/>
          <w:color w:val="6E8450"/>
          <w:sz w:val="18"/>
        </w:rPr>
        <w:t>3,769 Employees · https://www.westernalliancebancorporation.com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Alliance has expanded aggressively over the past five years, growing from a regional bank to a national commercial banking platform through organic growth and niche vertical development in areas like HOA banking, tech and innovation lending, and digital assets [1]. The National Commercial Bank Strategy represents a meaningful business model evolution, but is not a transformative product pivot. AI Deployment (1/2): The bank has invested in digital banking infrastructure and appointed board member Dr. Michael Papay (CISO at AI company Rohirrim) to bring AI and cybersecurity expertise, but there are no publicly quantified AI-driven cost savings or AI-powered products shipping to customers yet [2]. Market Share (1/2): WAL has grown deposits and loans significantly — total assets exceeded $80B in 2025 — establishing meaningful share in specialty niches like HOA banking, Business Escrow Services, and tech lending, though it remains a mid-cap regional bank relative to money center peers [1]. Product Pipeline (1/2): Dale Gibbons' new role overseeing Deposits &amp; Innovation includes digital assets, Juris Banking, and consumer digital initiatives, providing some pipeline visibility [2]. R&amp;D Intensity (1/1): The bank's technology investment as a percentage of revenue appears above average for regional banking peers, with specific focus on digital platforms and innovation-driven verticals.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Alliance describes itself as 'a leading national bank for business' that puts customers first with 'tailored business banking solutions backed by outstanding, personalized service.' This is clear and identifies the customer focus, but is fairly standard for a commercial bank — it doesn't articulate a deeper purpose beyond excellent service delivery [2]. Community Impact (1/2): Western Alliance publishes an annual Corporate Responsibility Report documenting community investment and lending, including CRA-qualified community development loans and volunteer programs across its Arizona, California, and Nevada markets [3]. The programs are genuine but not distinctively transformative. Employee Retention (1/2): CEO Ken Vecchione has led the bank since 2017, providing leadership stability, and was recognized as #2 Best CEO in Extel's 2025 All-America Executive Team rankings for Mid-Cap Banks [2]. The executive team shows reasonable tenure, but specific employee turnover data is not publicly available. Insider Buying (1/2): Insider transactions are roughly balanced with no notable net insider buying in the past 12 months, though management compensation is significantly equity-linked.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Alliance's financial profile scores well on the mechanical Infrastructure calculation, particularly on growth and valuation metrics. D/E of 88.0% is modestly above the 70% target but well below the 300% floor, reflecting reasonable leverage for a bank [4]. ROE of 12.97% is below the 15% target, reflecting the 2023 regional banking stress, but the bank earned adjusted EPS growth of 24% YoY in Q1 2026 [1]. Forward P/E of 7.0x is exceptionally attractive, well below the 20x target, reflecting residual discount from the 2023 banking crisis and the Q1 2026 fraud-related charge-off [1]. Profit margin of 28.2% exceeds the 20% target. Revenue grew 12.3% YoY and has a 3-year CAGR of ~11.8%, both exceeding the 10% target [4]. Dividend metrics are more modest: payout ratio of 18.6% is very conservative, but 7 consecutive years of payments (since 2019) and only ~3 years of consecutive growth reflect a relatively young dividend program with a 5-year CAGR of ~2.1% [4]. Liquidity floor cleared: 1.44M avg volume × $80.98 = $116M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Western Alliance demonstrates several infinite game characteristics — CEO Ken Vecchione has provided stable, purpose-driven leadership since 2017, guiding the bank through the 2023 regional banking crisis with a focus on long-term franchise building rather than short-term survival. The National Commercial Bank Strategy represents a clear long-term vision, though the company is still relatively young in its evolution and hasn't faced the decades-long tests that distinguish truly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Alliance's purpose centers on being 'a leading national bank for business' that delivers personalized service — this is functional rather than cause-driven, identifying what the company does well rather than a future state it's working to create [2]. The National Commercial Bank Strategy provides directional clarity but is more of a growth plan than a Just Cause in Sinek's framework.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Vecchione's stable 9-year tenure and recognition as #2 Best CEO in Extel's 2025 Mid-Cap Bank rankings suggest a functional leadership culture [2]. The orderly CFO transition from Dale Gibbons to Vishal Idnani, with Gibbons moving to a new Chief Banking Officer role rather than departing, indicates an organization that retains and redeploys talent [2]. However, no specific data on employee turnover, cultural programs, or psychological safety is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Alliance competes against JPMorgan, Bank of America, and other large banks in commercial lending without framing competition in zero-sum terms. The bank's strategy focuses on carving out specialty niches — HOA banking, tech lending, escrow services — where its expertise provides differentiation, rather than trying to 'beat' money center banks at their own game [2]. This reflects a learn-and-improve competitive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Western Alliance has evolved meaningfully from a small Arizona-based bank to a national commercial banking platform, entering multiple new specialty verticals including digital assets, tech lending, and HOA banking [2]. The 2023 regional banking crisis tested the bank's resilience, and management maintained its long-term strategy rather than retreating to a more conservative posture. These are incremental evolutions rather than transformative pivots.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During the March 2023 regional banking crisis, when Silicon Valley Bank and Signature Bank collapsed, Western Alliance faced acute deposit flight and stock price pressure but management maintained its strategic direction and rebuilt deposit base organically rather than selling the franchise or drastically cutting back [1]. The continued investment in the National Commercial Bank Strategy through that period demonstrated some courage. However, these were survival decisions as much as cause-driven ones.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Alliance Bancorporation delivered a strong Q1 2026, with net revenue reaching $1.02B (+31% YoY), net interest income of $766M (+18% YoY), and adjusted EPS growth of 24% [1]. At 7.0x forward P/E, the stock trades at a steep discount to the banking sector median, reflecting residual risk premium from the 2023 regional banking crisis and a $126M fraud-related loan charge-off in Q1 2026 [1][3]. Management guided 2026 NII growth of 11-14% (trending toward the upper end) and non-interest income growth of 13-17%, supported by the bank's specialty lending verticals in HOA banking, tech, and business escrow services [1]. With a 28.2% profit margin, conservative 18.6% dividend payout ratio, and $80B+ in total assets, Western Alliance has substantial capacity for both dividend growth and book value accretion [4].</w:t>
      </w:r>
    </w:p>
    <w:p>
      <w:pPr>
        <w:spacing w:after="120"/>
      </w:pPr>
      <w:r>
        <w:rPr>
          <w:rFonts w:ascii="Calibri" w:hAnsi="Calibri"/>
          <w:b w:val="0"/>
          <w:color w:val="3A4A28"/>
          <w:sz w:val="20"/>
        </w:rPr>
        <w:t>The bear case centers on credit quality and concentration risk. The $126.4M charge-off related to First Brands Group (a bankrupt auto supplier via Jefferies Financial) highlights the risk of large single-name exposures in commercial lending [3]. Provisions for credit losses increased in Q1, and management flagged higher credit costs as a headwind. Western Alliance's rapid asset growth — from ~$50B in 2022 to $80B+ in 2025 — raises questions about underwriting discipline during a period of aggressive expansion [4]. The bank's commercial real estate exposure, while diversified across geographies, remains a risk if property values decline further. ROE of 12.97% lags the 15% target, partly reflecting the dilution from equity raises during the 2023 crisis. Additionally, the dividend program is young (7 years) with modest growth (2.1% 5-year CAGR), and WAL may face regulatory scrutiny as it approaches the $100B asset threshold that triggers enhanced prudential standards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NII growth guidance of 11-14% trending toward the upper end, with no rate cuts assumed, providing upside if the Fed eases policy later in the year [1]</w:t>
      </w:r>
    </w:p>
    <w:p>
      <w:pPr>
        <w:spacing w:before="40" w:after="40"/>
        <w:ind w:left="283"/>
      </w:pPr>
      <w:r>
        <w:rPr>
          <w:rFonts w:ascii="Calibri" w:hAnsi="Calibri"/>
          <w:b/>
          <w:color w:val="4A6B25"/>
          <w:sz w:val="20"/>
        </w:rPr>
        <w:t xml:space="preserve">2. </w:t>
      </w:r>
      <w:r>
        <w:rPr>
          <w:rFonts w:ascii="Calibri" w:hAnsi="Calibri"/>
          <w:b w:val="0"/>
          <w:color w:val="3A4A28"/>
          <w:sz w:val="20"/>
        </w:rPr>
        <w:t>Continued valuation re-rating from the 2023 banking crisis discount — at 7.0x forward P/E, WAL trades well below pre-crisis multiples and regional bank peers [4]</w:t>
      </w:r>
    </w:p>
    <w:p>
      <w:pPr>
        <w:spacing w:before="40" w:after="40"/>
        <w:ind w:left="283"/>
      </w:pPr>
      <w:r>
        <w:rPr>
          <w:rFonts w:ascii="Calibri" w:hAnsi="Calibri"/>
          <w:b/>
          <w:color w:val="4A6B25"/>
          <w:sz w:val="20"/>
        </w:rPr>
        <w:t xml:space="preserve">3. </w:t>
      </w:r>
      <w:r>
        <w:rPr>
          <w:rFonts w:ascii="Calibri" w:hAnsi="Calibri"/>
          <w:b w:val="0"/>
          <w:color w:val="3A4A28"/>
          <w:sz w:val="20"/>
        </w:rPr>
        <w:t>National Commercial Bank Strategy expansion into new specialty verticals including digital assets and consumer digital banking, driving non-interest income growth of 13-17%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quality deterioration from rapid loan book growth — the $126.4M First Brands charge-off demonstrates single-name concentration risk in commercial lending, and provisions are rising [3]</w:t>
      </w:r>
    </w:p>
    <w:p>
      <w:pPr>
        <w:spacing w:before="40" w:after="40"/>
        <w:ind w:left="283"/>
      </w:pPr>
      <w:r>
        <w:rPr>
          <w:rFonts w:ascii="Calibri" w:hAnsi="Calibri"/>
          <w:b/>
          <w:color w:val="4A6B25"/>
          <w:sz w:val="20"/>
        </w:rPr>
        <w:t xml:space="preserve">2. </w:t>
      </w:r>
      <w:r>
        <w:rPr>
          <w:rFonts w:ascii="Calibri" w:hAnsi="Calibri"/>
          <w:b w:val="0"/>
          <w:color w:val="3A4A28"/>
          <w:sz w:val="20"/>
        </w:rPr>
        <w:t>Approaching the $100B asset threshold that triggers enhanced prudential standards (DFAST stress testing, resolution planning), which could increase compliance costs and constrain growth [1]</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exposure across Arizona, California, and Nevada markets remains vulnerable to property value declines and higher vacancy rates in office and retail segments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banking's core functions — relationship lending, credit underwriting for complex commercial real estate and construction loans, deposit gathering, and regulatory compliance — involve deeply relationship-driven and regulated processes that AI cannot easily replicate [2]. Western Alliance's specialty niches (HOA banking, Business Escrow Services, tech lending) require domain expertise and trust relationships that create meaningful switching costs. However, AI tools are increasingly being deployed in credit scoring, fraud detection, loan processing, and customer service, which could pressure margins and reduce headcount advantages over time. Analysts have not flagged AI as a primary disruption risk for WAL, but fintech competition and AI-driven lending platforms represent incremental competitive pressure. AI Opportunity (1/1): Western Alliance generates some AI-adjacent revenue through its Digital Assets banking vertical and has appointed AI expertise to its board (Dr. Michael Papay, CISO at AI company Rohirrim), positioning the bank to serve technology and AI-related businesses as a lending and deposit partner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Alliance Bancorporation Q1 2026 Earnings Release — $1.02B net revenue, +31% YoY, NII $766M +18% YoY, adjusted EPS +24% YoY, 2026 NII growth guidance 11-14%, April 2026</w:t>
      </w:r>
    </w:p>
    <w:p>
      <w:pPr>
        <w:spacing w:before="20" w:after="20"/>
        <w:ind w:left="170"/>
      </w:pPr>
      <w:r>
        <w:rPr>
          <w:rFonts w:ascii="Calibri" w:hAnsi="Calibri"/>
          <w:b/>
          <w:color w:val="4A6B25"/>
          <w:sz w:val="15"/>
        </w:rPr>
        <w:t xml:space="preserve">2. </w:t>
      </w:r>
      <w:r>
        <w:rPr>
          <w:rFonts w:ascii="Calibri" w:hAnsi="Calibri"/>
          <w:b w:val="0"/>
          <w:color w:val="3A4A28"/>
          <w:sz w:val="17"/>
        </w:rPr>
        <w:t>Western Alliance Bancorporation leadership and strategy — CEO Ken Vecchione (#2 Extel Best CEO Mid-Cap Banks 2025), CFO transition to Vishal Idnani, National Commercial Bank Strategy, board appointment of Dr. Michael Papay (AI expertise), 2025-2026</w:t>
      </w:r>
    </w:p>
    <w:p>
      <w:pPr>
        <w:spacing w:before="20" w:after="20"/>
        <w:ind w:left="170"/>
      </w:pPr>
      <w:r>
        <w:rPr>
          <w:rFonts w:ascii="Calibri" w:hAnsi="Calibri"/>
          <w:b/>
          <w:color w:val="4A6B25"/>
          <w:sz w:val="15"/>
        </w:rPr>
        <w:t xml:space="preserve">3. </w:t>
      </w:r>
      <w:r>
        <w:rPr>
          <w:rFonts w:ascii="Calibri" w:hAnsi="Calibri"/>
          <w:b w:val="0"/>
          <w:color w:val="3A4A28"/>
          <w:sz w:val="17"/>
        </w:rPr>
        <w:t>Western Alliance Bancorporation $126.4M loan charge-off related to First Brands Group/Jefferies Financial Group; Sustainalytics ESG Risk Rating (Average management of material ESG risk),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WAL (Western Alliance Bancorporation),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