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WBS</w:t>
      </w:r>
      <w:r>
        <w:rPr>
          <w:rFonts w:ascii="Calibri" w:hAnsi="Calibri"/>
          <w:b/>
          <w:color w:val="1A2010"/>
          <w:sz w:val="40"/>
        </w:rPr>
        <w:t xml:space="preserve">  Webster Financial Corporation</w:t>
      </w:r>
    </w:p>
    <w:p>
      <w:pPr>
        <w:spacing w:after="120"/>
      </w:pPr>
      <w:r>
        <w:rPr>
          <w:rFonts w:ascii="Calibri" w:hAnsi="Calibri"/>
          <w:b/>
          <w:color w:val="6E8450"/>
          <w:sz w:val="18"/>
        </w:rPr>
        <w:t>DIVIDEND SLEEVE · 2026-04-02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Webster Financial Corporation operates as the bank holding company for Webster Bank, N.A., providing commercial banking, healthcare financial services (HSA Bank), and consumer banking across the northeastern United States. Founded in 1870 and headquartered in Stamford, CT, the bank holds over $84 billion in consolidated assets.</w:t>
      </w:r>
    </w:p>
    <w:p>
      <w:r>
        <w:rPr>
          <w:rFonts w:ascii="Calibri" w:hAnsi="Calibri"/>
          <w:b/>
          <w:color w:val="6E8450"/>
          <w:sz w:val="18"/>
        </w:rPr>
        <w:t>4,498 Employees · https://www.websterbank.com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Webster completed the transformative Sterling Bancorp merger in 2022, doubling its asset base and entering new commercial verticals, but has since focused on organic integration rather than new product launches [1]. AI Deployment (1/2): Webster has deployed three AI proof-of-concept initiatives — intelligent internal search, gen-AI-assisted syndicated loan workflows, and customer attrition prediction — but no customer-facing AI products are shipping yet [2]. Market Share (1/2): Webster is a meaningful regional bank with $84B in assets marching toward the $100B Category IV threshold; HSA Bank is the second-largest health savings account administrator in the U.S. [1][2]. Pipeline (1/2): HSA Bank expansion expected to add $1B-$2.5B in deposits over five years, and the bank is hiring ~200 people including tech/cybersecurity roles as it prepares for Category IV regulatory requirements [2]. R&amp;D Intensity (1/1): Above-average investment in technology and AI governance for a regional bank, with a dedicated 24-person AI governance team and CIO Vikram Nafde leading digital transformation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Webster describes itself as a 'values-driven organization' focused on 'economic inclusion, financial empowerment, and driving economic vitality in our communities,' which is clear but not distinctive among regional banks [3]. Community Impact (1/2): The Office of Corporate Responsibility manages CRA compliance, inclusive vendor engagement, community investment, and sustainability programs; Webster has doubled commercial lending for renewable energy projects, but specific dollar amounts for charitable giving were not found [3]. Employee Retention (1/2): Glassdoor reviews describe a 'thriving culture' with accessible leadership, strong growth trajectory, and deep investment in human capital, though some note inconsistencies in bonus payouts and frequent HR changes [2]. Insider Buying (1/2): Recent insider transactions are primarily stock award grants rather than open-market purchases; no evidence of meaningful net insider buying by CEO Ciulla or executives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Webster's financial profile is strong for a regional bank. Revenue of $2.89B in FY2025 grew 11.9% YoY with 19.7% five-year CAGR driven by the Sterling merger [1]. Forward P/E of 9.5x is deeply discounted, and profit margin of 37.5% is excellent for the banking sector [4]. ROE of 10.8% is below the 15% target but reasonable for a well-capitalized bank. Payout ratio of 27.1% is conservative and sustainable. Dividend has been paid for 30+ consecutive years but growth has stalled at $1.60/share annually since 2020, producing 0% five-year dividend growth CAGR — the key drag on the Infrastructure score [4]. Liquidity floor easily cleared: 4.5M avg volume × $70.25 = $316M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Webster plays a moderately infinite game — the 156-year heritage, values-driven culture, and patient approach to AI adoption reflect long-term thinking. CEO Ciulla's 8-year tenure and focus on building toward the $100B threshold demonstrate strategic patience. However, flat dividend growth since 2020 and the absence of a transformative Just Cause beyond standard community banking values limit the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Webster's purpose of 'economic inclusion, financial empowerment, and economic vitality' is genuine but reads as standard community banking language rather than a distinctive Just Cause that shapes strategic decisions [3]. The company's 156-year history suggests endurance, but the mission doesn't rise to the level of a cause people sacrifice to advance.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consistently describe accessible, transparent leadership and a collaborative culture with strong investment in human capital [2]. CEO Ciulla's 8-year tenure provides stability. The executive team is 39% female. However, some employees note inconsistencies in bonus payouts and frequent HR staff changes, suggesting adequate but not exceptional trust.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Webster's competitive language focuses on building capabilities — investing in technology, hiring for growth, and preparing for Category IV requirements — rather than 'beating' competitors [2]. The bank's measured approach to AI, learning from larger banks' deployments, and focus on self-improvement over market share warfare reflects an infinite competitive mindset. (1/1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2022 Sterling Bancorp merger was a significant strategic evolution that doubled Webster's asset base and expanded into new commercial verticals [1]. HSA Bank diversification into healthcare financial services demonstrates willingness to evolve beyond traditional banking. These moves are meaningful but incremental rather than transformative reinventions.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Webster's decision to invest in Category IV compliance infrastructure and hire 200 people before reaching the $100B threshold shows willingness to absorb near-term costs for long-term positioning [2]. The measured, risk-aware approach to AI — maintaining a 24-person governance team rather than rushing to deploy — reflects principled leadership. However, the flat dividend since 2020 suggests some prioritization of capital conservation over shareholder returns.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Webster Financial is a well-managed regional bank delivering strong growth — Q4 2025 adjusted EPS of $1.59 (up from $1.43 YoY), full-year revenue of $2.89B (+13.6%), and 2026 guidance targeting $3B revenue with 5-7% loan growth [1]. The bank's three-pronged model — commercial banking, HSA Bank (second-largest U.S. HSA administrator), and consumer banking — provides diversification rare among regional peers. At 9.5x forward P/E with a 37.5% profit margin and 27% payout ratio, WBS is attractively valued with substantial earnings upside as it approaches the $100B asset threshold. HSA Bank's potential $1B-$2.5B deposit opportunity over five years and the Marathon JV provide additional growth vectors [1].</w:t>
      </w:r>
    </w:p>
    <w:p>
      <w:pPr>
        <w:spacing w:after="120"/>
      </w:pPr>
      <w:r>
        <w:rPr>
          <w:rFonts w:ascii="Calibri" w:hAnsi="Calibri"/>
          <w:b w:val="0"/>
          <w:color w:val="3A4A28"/>
          <w:sz w:val="20"/>
        </w:rPr>
        <w:t>The bear case centers on regulatory burden and dividend stagnation. Crossing the $100B Category IV threshold will trigger materially higher compliance costs — enhanced stress testing, living will requirements, and liquidity coverage ratios — that could compress margins [2]. The dividend has been frozen at $1.60/share since 2020, offering no growth for income investors despite 52.7% EPS growth. Banking industry-wide, AI-driven customer agents threaten to compress ROE to 7-9% by 2030 through reduced customer inertia [2]. Regional bank sector sentiment remains fragile post-SVB, and Webster's $84B asset base makes it too large for community bank simplicity but too small for money-center diversification. Interest rate sensitivity could pressure net interest margins if the Fed cuts aggressively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HSA Bank deposit growth opportunity of $1B-$2.5B over five years as health savings accounts gain broader adoption, starting with $50M-$100M incremental growth in 2026 [1]</w:t>
      </w:r>
    </w:p>
    <w:p>
      <w:pPr>
        <w:spacing w:before="40" w:after="40"/>
        <w:ind w:left="283"/>
      </w:pPr>
      <w:r>
        <w:rPr>
          <w:rFonts w:ascii="Calibri" w:hAnsi="Calibri"/>
          <w:b/>
          <w:color w:val="4A6B25"/>
          <w:sz w:val="20"/>
        </w:rPr>
        <w:t xml:space="preserve">2. </w:t>
      </w:r>
      <w:r>
        <w:rPr>
          <w:rFonts w:ascii="Calibri" w:hAnsi="Calibri"/>
          <w:b w:val="0"/>
          <w:color w:val="3A4A28"/>
          <w:sz w:val="20"/>
        </w:rPr>
        <w:t>Category IV bank threshold crossing expected within 2-3 years, unlocking access to larger commercial deals and institutional credibility while management proactively builds compliance infrastructure [2]</w:t>
      </w:r>
    </w:p>
    <w:p>
      <w:pPr>
        <w:spacing w:before="40" w:after="40"/>
        <w:ind w:left="283"/>
      </w:pPr>
      <w:r>
        <w:rPr>
          <w:rFonts w:ascii="Calibri" w:hAnsi="Calibri"/>
          <w:b/>
          <w:color w:val="4A6B25"/>
          <w:sz w:val="20"/>
        </w:rPr>
        <w:t xml:space="preserve">3. </w:t>
      </w:r>
      <w:r>
        <w:rPr>
          <w:rFonts w:ascii="Calibri" w:hAnsi="Calibri"/>
          <w:b w:val="0"/>
          <w:color w:val="3A4A28"/>
          <w:sz w:val="20"/>
        </w:rPr>
        <w:t>2026 revenue target of $3B with 5-7% loan growth guidance and continued margin expansion from the Sterling merger integration synergies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Category IV regulatory burden at $100B assets could increase annual compliance costs by $50M-$100M, compressing operating margins and requiring sustained investment in risk infrastructure [2]</w:t>
      </w:r>
    </w:p>
    <w:p>
      <w:pPr>
        <w:spacing w:before="40" w:after="40"/>
        <w:ind w:left="283"/>
      </w:pPr>
      <w:r>
        <w:rPr>
          <w:rFonts w:ascii="Calibri" w:hAnsi="Calibri"/>
          <w:b/>
          <w:color w:val="4A6B25"/>
          <w:sz w:val="20"/>
        </w:rPr>
        <w:t xml:space="preserve">2. </w:t>
      </w:r>
      <w:r>
        <w:rPr>
          <w:rFonts w:ascii="Calibri" w:hAnsi="Calibri"/>
          <w:b w:val="0"/>
          <w:color w:val="3A4A28"/>
          <w:sz w:val="20"/>
        </w:rPr>
        <w:t>Dividend frozen at $1.60/share since 2020 with 0% growth — income investors may rotate to peers offering dividend growth, pressuring the stock's valuation floor [4]</w:t>
      </w:r>
    </w:p>
    <w:p>
      <w:pPr>
        <w:spacing w:before="40" w:after="40"/>
        <w:ind w:left="283"/>
      </w:pPr>
      <w:r>
        <w:rPr>
          <w:rFonts w:ascii="Calibri" w:hAnsi="Calibri"/>
          <w:b/>
          <w:color w:val="4A6B25"/>
          <w:sz w:val="20"/>
        </w:rPr>
        <w:t xml:space="preserve">3. </w:t>
      </w:r>
      <w:r>
        <w:rPr>
          <w:rFonts w:ascii="Calibri" w:hAnsi="Calibri"/>
          <w:b w:val="0"/>
          <w:color w:val="3A4A28"/>
          <w:sz w:val="20"/>
        </w:rPr>
        <w:t>AI-enabled banking disintermediation — third-party AI agents could erode customer inertia across the industry, with projections suggesting banking ROE compression to 7-9% by 2030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partially exposed to AI disruption — third-party AI agents could erode customer inertia that supports banking profitability, and industry ROE projections suggest compression to 7-9% by 2030 [2]. However, Webster's core business is relationship-driven commercial banking and HSA administration with significant regulatory moats, switching costs, and physical-world deposit-taking that AI cannot easily replicate. The $100B Category IV threshold regulatory complexity adds further protection. AI Opportunity (1/1): Webster is actively deploying AI across loan workflows, internal search, and customer attrition prediction, with a structured 24-person AI governance framework led by CIO Nafde and Chief Data Officer Patel generating measurable operational efficiencies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Webster Financial Q4 2025 Earnings Release — $1.55 EPS, $746.2M quarterly revenue, $2.89B full-year revenue, January 2026</w:t>
      </w:r>
    </w:p>
    <w:p>
      <w:pPr>
        <w:spacing w:before="20" w:after="20"/>
        <w:ind w:left="170"/>
      </w:pPr>
      <w:r>
        <w:rPr>
          <w:rFonts w:ascii="Calibri" w:hAnsi="Calibri"/>
          <w:b/>
          <w:color w:val="4A6B25"/>
          <w:sz w:val="15"/>
        </w:rPr>
        <w:t xml:space="preserve">2. </w:t>
      </w:r>
      <w:r>
        <w:rPr>
          <w:rFonts w:ascii="Calibri" w:hAnsi="Calibri"/>
          <w:b w:val="0"/>
          <w:color w:val="3A4A28"/>
          <w:sz w:val="17"/>
        </w:rPr>
        <w:t>Banking Dive / CIO.com — Webster eyes $100B threshold, AI strategy with CIO Vikram Nafde, 2025-2026</w:t>
      </w:r>
    </w:p>
    <w:p>
      <w:pPr>
        <w:spacing w:before="20" w:after="20"/>
        <w:ind w:left="170"/>
      </w:pPr>
      <w:r>
        <w:rPr>
          <w:rFonts w:ascii="Calibri" w:hAnsi="Calibri"/>
          <w:b/>
          <w:color w:val="4A6B25"/>
          <w:sz w:val="15"/>
        </w:rPr>
        <w:t xml:space="preserve">3. </w:t>
      </w:r>
      <w:r>
        <w:rPr>
          <w:rFonts w:ascii="Calibri" w:hAnsi="Calibri"/>
          <w:b w:val="0"/>
          <w:color w:val="3A4A28"/>
          <w:sz w:val="17"/>
        </w:rPr>
        <w:t>Webster Bank Corporate Responsibility Report and ESG disclosures,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WBS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